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B6719" w14:textId="211598A1" w:rsidR="00E07FCF" w:rsidRPr="008861A7" w:rsidRDefault="00C319F4" w:rsidP="00E32439">
      <w:pPr>
        <w:pStyle w:val="Pagedecouverture"/>
        <w:rPr>
          <w:noProof/>
        </w:rPr>
      </w:pPr>
      <w:bookmarkStart w:id="0" w:name="_GoBack"/>
      <w:bookmarkEnd w:id="0"/>
      <w:r>
        <w:rPr>
          <w:noProof/>
          <w:lang w:eastAsia="en-GB"/>
        </w:rPr>
        <w:drawing>
          <wp:inline distT="0" distB="0" distL="0" distR="0" wp14:anchorId="74C885D5" wp14:editId="1A1B36E4">
            <wp:extent cx="5775960" cy="6138545"/>
            <wp:effectExtent l="0" t="0" r="0" b="0"/>
            <wp:docPr id="1" name="Picture 1" descr="E682DF20-CB6D-4231-80B9-59E2262CED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682DF20-CB6D-4231-80B9-59E2262CED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5960" cy="6138545"/>
                    </a:xfrm>
                    <a:prstGeom prst="rect">
                      <a:avLst/>
                    </a:prstGeom>
                    <a:noFill/>
                    <a:ln>
                      <a:noFill/>
                    </a:ln>
                  </pic:spPr>
                </pic:pic>
              </a:graphicData>
            </a:graphic>
          </wp:inline>
        </w:drawing>
      </w:r>
    </w:p>
    <w:p w14:paraId="592EF396" w14:textId="77777777" w:rsidR="00E07FCF" w:rsidRPr="008861A7" w:rsidRDefault="00E07FCF" w:rsidP="00E07FCF">
      <w:pPr>
        <w:rPr>
          <w:noProof/>
        </w:rPr>
        <w:sectPr w:rsidR="00E07FCF" w:rsidRPr="008861A7" w:rsidSect="00E32439">
          <w:footerReference w:type="default" r:id="rId9"/>
          <w:pgSz w:w="11907" w:h="16839"/>
          <w:pgMar w:top="1134" w:right="1417" w:bottom="1134" w:left="1417" w:header="709" w:footer="709" w:gutter="0"/>
          <w:pgNumType w:start="0"/>
          <w:cols w:space="720"/>
          <w:docGrid w:linePitch="360"/>
        </w:sectPr>
      </w:pPr>
    </w:p>
    <w:p w14:paraId="7943A299" w14:textId="77777777" w:rsidR="00E07FCF" w:rsidRPr="008861A7" w:rsidRDefault="00E07FCF" w:rsidP="00E07FCF">
      <w:pPr>
        <w:pStyle w:val="Annexetitre"/>
        <w:rPr>
          <w:noProof/>
        </w:rPr>
      </w:pPr>
      <w:r w:rsidRPr="008861A7">
        <w:rPr>
          <w:noProof/>
        </w:rPr>
        <w:lastRenderedPageBreak/>
        <w:t>ANNEX I</w:t>
      </w:r>
    </w:p>
    <w:p w14:paraId="32C1B102" w14:textId="77777777" w:rsidR="00E07FCF" w:rsidRPr="008861A7" w:rsidRDefault="00E07FCF" w:rsidP="00E07FCF">
      <w:pPr>
        <w:jc w:val="center"/>
        <w:rPr>
          <w:b/>
          <w:noProof/>
        </w:rPr>
      </w:pPr>
      <w:r w:rsidRPr="008861A7">
        <w:rPr>
          <w:b/>
          <w:noProof/>
        </w:rPr>
        <w:t>Template principal adverse sustainability impacts statement</w:t>
      </w:r>
    </w:p>
    <w:p w14:paraId="4BB06315" w14:textId="1B3886FD" w:rsidR="00E07FCF" w:rsidRPr="008861A7" w:rsidRDefault="00E07FCF" w:rsidP="007D22B5">
      <w:pPr>
        <w:rPr>
          <w:noProof/>
          <w:szCs w:val="24"/>
        </w:rPr>
      </w:pPr>
      <w:r w:rsidRPr="008861A7">
        <w:rPr>
          <w:noProof/>
          <w:szCs w:val="24"/>
        </w:rPr>
        <w:t>For the purposes of this Annex, the following definitions shall apply:</w:t>
      </w:r>
    </w:p>
    <w:p w14:paraId="48D5EFCD" w14:textId="13D8C79B" w:rsidR="00E07FCF" w:rsidRPr="008861A7" w:rsidRDefault="004E0528" w:rsidP="004E0528">
      <w:pPr>
        <w:pStyle w:val="Point0"/>
        <w:rPr>
          <w:bCs/>
          <w:noProof/>
        </w:rPr>
      </w:pPr>
      <w:r w:rsidRPr="004E0528">
        <w:t>(1)</w:t>
      </w:r>
      <w:r w:rsidRPr="004E0528">
        <w:tab/>
      </w:r>
      <w:r w:rsidR="00E07FCF" w:rsidRPr="008861A7">
        <w:rPr>
          <w:noProof/>
        </w:rPr>
        <w:t xml:space="preserve">‘scope 1, 2 and 3 GHG emissions’ means the scope of greenhouse gas emissions referred to in </w:t>
      </w:r>
      <w:bookmarkStart w:id="1" w:name="_Hlk34126869"/>
      <w:r w:rsidR="00E07FCF" w:rsidRPr="008861A7">
        <w:rPr>
          <w:noProof/>
        </w:rPr>
        <w:t>point</w:t>
      </w:r>
      <w:r w:rsidR="005E448B" w:rsidRPr="008861A7">
        <w:rPr>
          <w:noProof/>
        </w:rPr>
        <w:t>s</w:t>
      </w:r>
      <w:r w:rsidR="00E07FCF" w:rsidRPr="008861A7">
        <w:rPr>
          <w:noProof/>
        </w:rPr>
        <w:t xml:space="preserve"> (1)(e)</w:t>
      </w:r>
      <w:r w:rsidR="00953AE3" w:rsidRPr="008861A7">
        <w:rPr>
          <w:noProof/>
        </w:rPr>
        <w:t xml:space="preserve">(i) to (iii) </w:t>
      </w:r>
      <w:r w:rsidR="00E07FCF" w:rsidRPr="008861A7">
        <w:rPr>
          <w:noProof/>
        </w:rPr>
        <w:t xml:space="preserve">of Annex III </w:t>
      </w:r>
      <w:r w:rsidR="004113D8" w:rsidRPr="008861A7">
        <w:rPr>
          <w:noProof/>
        </w:rPr>
        <w:t>to</w:t>
      </w:r>
      <w:r w:rsidR="00E07FCF" w:rsidRPr="008861A7">
        <w:rPr>
          <w:noProof/>
        </w:rPr>
        <w:t xml:space="preserve"> Regulation (EU) 2016/1011</w:t>
      </w:r>
      <w:bookmarkEnd w:id="1"/>
      <w:r w:rsidR="004113D8" w:rsidRPr="008861A7">
        <w:rPr>
          <w:noProof/>
        </w:rPr>
        <w:t xml:space="preserve"> of the European Parliament and of the Council</w:t>
      </w:r>
      <w:r w:rsidR="004113D8" w:rsidRPr="008861A7">
        <w:rPr>
          <w:rStyle w:val="FootnoteReference"/>
          <w:noProof/>
        </w:rPr>
        <w:footnoteReference w:id="1"/>
      </w:r>
      <w:r w:rsidR="00E07FCF" w:rsidRPr="008861A7">
        <w:rPr>
          <w:noProof/>
        </w:rPr>
        <w:t>;</w:t>
      </w:r>
    </w:p>
    <w:p w14:paraId="525D56C6" w14:textId="4EC5C30E" w:rsidR="00DC7A0D" w:rsidRPr="008861A7" w:rsidRDefault="004E0528" w:rsidP="004E0528">
      <w:pPr>
        <w:pStyle w:val="Point0"/>
        <w:rPr>
          <w:noProof/>
        </w:rPr>
      </w:pPr>
      <w:bookmarkStart w:id="2" w:name="_Hlk57365370"/>
      <w:r w:rsidRPr="004E0528">
        <w:t>(2)</w:t>
      </w:r>
      <w:r w:rsidRPr="004E0528">
        <w:tab/>
      </w:r>
      <w:r w:rsidR="00E07FCF" w:rsidRPr="008861A7">
        <w:rPr>
          <w:noProof/>
        </w:rPr>
        <w:t>‘greenhouse gas (GHG) emissions’ means greenhouse gas emissions as defined in Article 3</w:t>
      </w:r>
      <w:r w:rsidR="008E6A91" w:rsidRPr="008861A7">
        <w:rPr>
          <w:noProof/>
        </w:rPr>
        <w:t>,</w:t>
      </w:r>
      <w:r w:rsidR="00E07FCF" w:rsidRPr="008861A7">
        <w:rPr>
          <w:noProof/>
        </w:rPr>
        <w:t xml:space="preserve"> </w:t>
      </w:r>
      <w:r w:rsidR="008E6A91" w:rsidRPr="008861A7">
        <w:rPr>
          <w:noProof/>
        </w:rPr>
        <w:t xml:space="preserve">point (1), </w:t>
      </w:r>
      <w:r w:rsidR="00E07FCF" w:rsidRPr="008861A7">
        <w:rPr>
          <w:noProof/>
        </w:rPr>
        <w:t>of Regulation (EU) 2018/842 of the European Parliament and of the Council</w:t>
      </w:r>
      <w:r w:rsidR="00237C9D" w:rsidRPr="008861A7">
        <w:rPr>
          <w:rStyle w:val="FootnoteReference"/>
          <w:noProof/>
        </w:rPr>
        <w:footnoteReference w:id="2"/>
      </w:r>
      <w:r w:rsidR="00237C9D" w:rsidRPr="008861A7">
        <w:rPr>
          <w:noProof/>
        </w:rPr>
        <w:t>;</w:t>
      </w:r>
    </w:p>
    <w:p w14:paraId="61D6D8D2" w14:textId="266A1574" w:rsidR="00DC7A0D" w:rsidRDefault="004E0528" w:rsidP="004E0528">
      <w:pPr>
        <w:pStyle w:val="Point0"/>
        <w:rPr>
          <w:noProof/>
        </w:rPr>
      </w:pPr>
      <w:r w:rsidRPr="004E0528">
        <w:t>(3)</w:t>
      </w:r>
      <w:r w:rsidRPr="004E0528">
        <w:tab/>
      </w:r>
      <w:r w:rsidR="00DC7A0D" w:rsidRPr="008861A7">
        <w:rPr>
          <w:noProof/>
        </w:rPr>
        <w:t xml:space="preserve">‘weighted average’ means a ratio of the weight of the investment by the financial market participant in an investee company in relation to </w:t>
      </w:r>
      <w:r w:rsidR="00EC37F9">
        <w:rPr>
          <w:noProof/>
        </w:rPr>
        <w:t>the enterprise value of the investee company</w:t>
      </w:r>
      <w:r w:rsidR="00DC7A0D" w:rsidRPr="008861A7">
        <w:rPr>
          <w:noProof/>
        </w:rPr>
        <w:t>;</w:t>
      </w:r>
    </w:p>
    <w:p w14:paraId="1D5371E8" w14:textId="77AF9813" w:rsidR="00EC37F9" w:rsidRPr="008861A7" w:rsidRDefault="004E0528" w:rsidP="004E0528">
      <w:pPr>
        <w:pStyle w:val="Point0"/>
        <w:rPr>
          <w:noProof/>
        </w:rPr>
      </w:pPr>
      <w:r w:rsidRPr="004E0528">
        <w:t>(4)</w:t>
      </w:r>
      <w:r w:rsidRPr="004E0528">
        <w:tab/>
      </w:r>
      <w:r w:rsidR="00EC37F9" w:rsidRPr="00EC37F9">
        <w:rPr>
          <w:noProof/>
        </w:rPr>
        <w:t>‘enterprise value’ means the sum, at fiscal year-end, of the market capitalisation of ordinary shares, the market capitalisation of preferred shares, and the book value of total debt and non-controlling interests, without the deduction of cash or cash equivalents;</w:t>
      </w:r>
    </w:p>
    <w:p w14:paraId="031ACC39" w14:textId="10F3E547" w:rsidR="00EF788C" w:rsidRPr="002047F4" w:rsidRDefault="004E0528" w:rsidP="004E0528">
      <w:pPr>
        <w:pStyle w:val="Point0"/>
        <w:rPr>
          <w:rFonts w:eastAsia="Calibri"/>
          <w:bCs/>
          <w:noProof/>
        </w:rPr>
      </w:pPr>
      <w:r w:rsidRPr="004E0528">
        <w:t>(5)</w:t>
      </w:r>
      <w:r w:rsidRPr="004E0528">
        <w:tab/>
      </w:r>
      <w:r w:rsidR="00EF788C" w:rsidRPr="008861A7">
        <w:rPr>
          <w:rFonts w:eastAsia="Calibri"/>
          <w:bCs/>
          <w:noProof/>
        </w:rPr>
        <w:t>‘</w:t>
      </w:r>
      <w:r w:rsidR="00EF788C" w:rsidRPr="002047F4">
        <w:rPr>
          <w:noProof/>
        </w:rPr>
        <w:t>companies</w:t>
      </w:r>
      <w:r w:rsidR="00EF788C" w:rsidRPr="008861A7">
        <w:rPr>
          <w:rFonts w:eastAsia="Calibri"/>
          <w:bCs/>
          <w:noProof/>
        </w:rPr>
        <w:t xml:space="preserve"> active in the fossil fuel sector’ means</w:t>
      </w:r>
      <w:r w:rsidR="00953AE3" w:rsidRPr="008861A7">
        <w:rPr>
          <w:rFonts w:eastAsia="Calibri"/>
          <w:bCs/>
          <w:noProof/>
        </w:rPr>
        <w:t xml:space="preserve"> </w:t>
      </w:r>
      <w:r w:rsidR="00EF788C" w:rsidRPr="008861A7" w:rsidDel="005F60A3">
        <w:rPr>
          <w:noProof/>
        </w:rPr>
        <w:t xml:space="preserve">companies </w:t>
      </w:r>
      <w:r w:rsidR="00EF788C" w:rsidRPr="008861A7">
        <w:rPr>
          <w:noProof/>
        </w:rPr>
        <w:t xml:space="preserve">that derive any revenues from exploration, mining, extraction, </w:t>
      </w:r>
      <w:r w:rsidR="005F60A3" w:rsidRPr="008861A7">
        <w:rPr>
          <w:noProof/>
        </w:rPr>
        <w:t xml:space="preserve">production, processing, </w:t>
      </w:r>
      <w:r w:rsidR="00EF788C" w:rsidRPr="008861A7">
        <w:rPr>
          <w:noProof/>
        </w:rPr>
        <w:t>storage</w:t>
      </w:r>
      <w:r w:rsidR="005F60A3" w:rsidRPr="008861A7">
        <w:rPr>
          <w:noProof/>
        </w:rPr>
        <w:t xml:space="preserve">, </w:t>
      </w:r>
      <w:r w:rsidR="00EF788C" w:rsidRPr="008861A7">
        <w:rPr>
          <w:noProof/>
        </w:rPr>
        <w:t>refining or distribution</w:t>
      </w:r>
      <w:r w:rsidR="004113D8" w:rsidRPr="008861A7">
        <w:rPr>
          <w:noProof/>
        </w:rPr>
        <w:t>,</w:t>
      </w:r>
      <w:r w:rsidR="00EF788C" w:rsidRPr="008861A7">
        <w:rPr>
          <w:noProof/>
        </w:rPr>
        <w:t xml:space="preserve"> including transportation, storage and trade</w:t>
      </w:r>
      <w:r w:rsidR="005F60A3" w:rsidRPr="008861A7">
        <w:rPr>
          <w:noProof/>
        </w:rPr>
        <w:t>,</w:t>
      </w:r>
      <w:r w:rsidR="005F60A3" w:rsidRPr="002047F4">
        <w:rPr>
          <w:rFonts w:eastAsia="Calibri"/>
          <w:bCs/>
          <w:noProof/>
        </w:rPr>
        <w:t xml:space="preserve"> of fossil fuels as defined in Article 2</w:t>
      </w:r>
      <w:r w:rsidR="00023432" w:rsidRPr="002047F4">
        <w:rPr>
          <w:rFonts w:eastAsia="Calibri"/>
          <w:bCs/>
          <w:noProof/>
        </w:rPr>
        <w:t>, point </w:t>
      </w:r>
      <w:r w:rsidR="005F60A3" w:rsidRPr="002047F4">
        <w:rPr>
          <w:rFonts w:eastAsia="Calibri"/>
          <w:bCs/>
          <w:noProof/>
        </w:rPr>
        <w:t>(62)</w:t>
      </w:r>
      <w:r w:rsidR="005277D1" w:rsidRPr="002047F4">
        <w:rPr>
          <w:rFonts w:eastAsia="Calibri"/>
          <w:bCs/>
          <w:noProof/>
        </w:rPr>
        <w:t>,</w:t>
      </w:r>
      <w:r w:rsidR="005F60A3" w:rsidRPr="002047F4">
        <w:rPr>
          <w:rFonts w:eastAsia="Calibri"/>
          <w:bCs/>
          <w:noProof/>
        </w:rPr>
        <w:t xml:space="preserve"> of Regulation (EU) 2018/1999 of the European Parliament and of the Council</w:t>
      </w:r>
      <w:r w:rsidR="005B053F" w:rsidRPr="008861A7">
        <w:rPr>
          <w:rStyle w:val="FootnoteReference"/>
          <w:rFonts w:eastAsia="Calibri"/>
          <w:bCs/>
          <w:noProof/>
        </w:rPr>
        <w:footnoteReference w:id="3"/>
      </w:r>
      <w:r w:rsidR="00EF788C" w:rsidRPr="008861A7">
        <w:rPr>
          <w:noProof/>
        </w:rPr>
        <w:t>;</w:t>
      </w:r>
    </w:p>
    <w:p w14:paraId="36194F18" w14:textId="48F8EEF4" w:rsidR="00EF788C" w:rsidRPr="008861A7" w:rsidRDefault="004E0528" w:rsidP="004E0528">
      <w:pPr>
        <w:pStyle w:val="Point0"/>
        <w:rPr>
          <w:noProof/>
        </w:rPr>
      </w:pPr>
      <w:r w:rsidRPr="004E0528">
        <w:t>(6)</w:t>
      </w:r>
      <w:r w:rsidRPr="004E0528">
        <w:tab/>
      </w:r>
      <w:r w:rsidR="00EF788C" w:rsidRPr="008861A7">
        <w:rPr>
          <w:noProof/>
        </w:rPr>
        <w:t xml:space="preserve">‘renewable energy sources’ means </w:t>
      </w:r>
      <w:r w:rsidR="00953AE3" w:rsidRPr="008861A7">
        <w:rPr>
          <w:noProof/>
        </w:rPr>
        <w:t>renewable non-fossil sources, namely wind, solar (solar thermal and solar photovoltaic) and geothermal energy, ambient energy, tide, wave and other ocean energy, hydropower, biomass, landfill gas, sewage treatment plant gas, and bioga</w:t>
      </w:r>
      <w:r w:rsidR="00953AE3" w:rsidRPr="00810EB1">
        <w:rPr>
          <w:noProof/>
        </w:rPr>
        <w:t>s</w:t>
      </w:r>
      <w:r w:rsidR="00EF788C" w:rsidRPr="00810EB1">
        <w:rPr>
          <w:noProof/>
        </w:rPr>
        <w:t>;</w:t>
      </w:r>
    </w:p>
    <w:p w14:paraId="03FC21E5" w14:textId="79FF0F3F" w:rsidR="00EF788C" w:rsidRPr="008861A7" w:rsidRDefault="004E0528" w:rsidP="004E0528">
      <w:pPr>
        <w:pStyle w:val="Point0"/>
        <w:rPr>
          <w:noProof/>
        </w:rPr>
      </w:pPr>
      <w:r w:rsidRPr="004E0528">
        <w:t>(7)</w:t>
      </w:r>
      <w:r w:rsidRPr="004E0528">
        <w:tab/>
      </w:r>
      <w:r w:rsidR="00EF788C" w:rsidRPr="008861A7">
        <w:rPr>
          <w:noProof/>
        </w:rPr>
        <w:t>‘non-renewable energy sources’ means energy sources other than those referred to in point (</w:t>
      </w:r>
      <w:r w:rsidR="00A23301">
        <w:rPr>
          <w:noProof/>
        </w:rPr>
        <w:t>6</w:t>
      </w:r>
      <w:r w:rsidR="00EF788C" w:rsidRPr="008861A7">
        <w:rPr>
          <w:noProof/>
        </w:rPr>
        <w:t>);</w:t>
      </w:r>
    </w:p>
    <w:bookmarkEnd w:id="2"/>
    <w:p w14:paraId="7E017FCB" w14:textId="55CECF99" w:rsidR="00237C9D" w:rsidRPr="008861A7" w:rsidRDefault="004E0528" w:rsidP="004E0528">
      <w:pPr>
        <w:pStyle w:val="Point0"/>
        <w:rPr>
          <w:noProof/>
        </w:rPr>
      </w:pPr>
      <w:r w:rsidRPr="004E0528">
        <w:t>(8)</w:t>
      </w:r>
      <w:r w:rsidRPr="004E0528">
        <w:tab/>
      </w:r>
      <w:r w:rsidR="00237C9D" w:rsidRPr="008861A7">
        <w:rPr>
          <w:noProof/>
        </w:rPr>
        <w:t>‘energy consumption intensity’ means the ratio of energy consumption per unit of activity, output or any other metric of the investee company to the total energy consumption of that investee company;</w:t>
      </w:r>
    </w:p>
    <w:p w14:paraId="1A908FB3" w14:textId="3AB1E5EF" w:rsidR="00237C9D" w:rsidRPr="008861A7" w:rsidRDefault="004E0528" w:rsidP="004E0528">
      <w:pPr>
        <w:pStyle w:val="Point0"/>
        <w:rPr>
          <w:noProof/>
        </w:rPr>
      </w:pPr>
      <w:r w:rsidRPr="004E0528">
        <w:t>(9)</w:t>
      </w:r>
      <w:r w:rsidRPr="004E0528">
        <w:tab/>
      </w:r>
      <w:r w:rsidR="00237C9D" w:rsidRPr="008861A7">
        <w:rPr>
          <w:noProof/>
        </w:rPr>
        <w:t>‘high impact climate sectors’ means the sectors listed in Sections A to H and Section L of Annex I to Regulation (EC) No 1893/2006 of the European Parliament and of the Council</w:t>
      </w:r>
      <w:r w:rsidR="00237C9D" w:rsidRPr="008861A7">
        <w:rPr>
          <w:rStyle w:val="FootnoteReference"/>
          <w:rFonts w:eastAsia="Calibri"/>
          <w:bCs/>
          <w:noProof/>
        </w:rPr>
        <w:footnoteReference w:id="4"/>
      </w:r>
      <w:r w:rsidR="00237C9D" w:rsidRPr="008861A7">
        <w:rPr>
          <w:noProof/>
        </w:rPr>
        <w:t>;</w:t>
      </w:r>
    </w:p>
    <w:p w14:paraId="36E590BB" w14:textId="08F85A6E" w:rsidR="00237C9D" w:rsidRPr="008861A7" w:rsidRDefault="004E0528" w:rsidP="004E0528">
      <w:pPr>
        <w:pStyle w:val="Point0"/>
        <w:rPr>
          <w:noProof/>
        </w:rPr>
      </w:pPr>
      <w:r w:rsidRPr="004E0528">
        <w:t>(10)</w:t>
      </w:r>
      <w:r w:rsidRPr="004E0528">
        <w:tab/>
      </w:r>
      <w:r w:rsidR="00237C9D" w:rsidRPr="008861A7">
        <w:rPr>
          <w:noProof/>
        </w:rPr>
        <w:t xml:space="preserve">‘protected area’ means </w:t>
      </w:r>
      <w:r w:rsidR="0095628F" w:rsidRPr="008861A7">
        <w:rPr>
          <w:noProof/>
        </w:rPr>
        <w:t>designated areas in</w:t>
      </w:r>
      <w:r w:rsidR="00FE0154" w:rsidRPr="008861A7">
        <w:rPr>
          <w:noProof/>
        </w:rPr>
        <w:t xml:space="preserve"> </w:t>
      </w:r>
      <w:r w:rsidR="00237C9D" w:rsidRPr="008861A7">
        <w:rPr>
          <w:noProof/>
        </w:rPr>
        <w:t>the European Environment Agency’s Common Database on Designated Areas (CDDA);</w:t>
      </w:r>
    </w:p>
    <w:p w14:paraId="1FEE3372" w14:textId="5CE99B51" w:rsidR="00237C9D" w:rsidRPr="008861A7" w:rsidRDefault="004E0528" w:rsidP="004E0528">
      <w:pPr>
        <w:pStyle w:val="Point0"/>
        <w:rPr>
          <w:noProof/>
        </w:rPr>
      </w:pPr>
      <w:r w:rsidRPr="004E0528">
        <w:t>(11)</w:t>
      </w:r>
      <w:r w:rsidRPr="004E0528">
        <w:tab/>
      </w:r>
      <w:r w:rsidR="00237C9D" w:rsidRPr="008861A7">
        <w:rPr>
          <w:noProof/>
        </w:rPr>
        <w:t>‘area of high biodiversity value outside protected areas’ means land with high biodiversity value as referred to in Article 7b(3) of Directive 98/70/EC of the European Parliament and of the Council</w:t>
      </w:r>
      <w:r w:rsidR="00237C9D" w:rsidRPr="008861A7">
        <w:rPr>
          <w:rStyle w:val="FootnoteReference"/>
          <w:rFonts w:eastAsia="Calibri"/>
          <w:bCs/>
          <w:noProof/>
        </w:rPr>
        <w:footnoteReference w:id="5"/>
      </w:r>
      <w:r w:rsidR="00237C9D" w:rsidRPr="008861A7">
        <w:rPr>
          <w:noProof/>
        </w:rPr>
        <w:t>;</w:t>
      </w:r>
    </w:p>
    <w:p w14:paraId="10386A45" w14:textId="2457F1F2" w:rsidR="00237C9D" w:rsidRPr="008861A7" w:rsidRDefault="004E0528" w:rsidP="004E0528">
      <w:pPr>
        <w:pStyle w:val="Point0"/>
        <w:rPr>
          <w:noProof/>
        </w:rPr>
      </w:pPr>
      <w:r w:rsidRPr="004E0528">
        <w:t>(12)</w:t>
      </w:r>
      <w:r w:rsidRPr="004E0528">
        <w:tab/>
      </w:r>
      <w:r w:rsidR="00237C9D" w:rsidRPr="008861A7">
        <w:rPr>
          <w:noProof/>
        </w:rPr>
        <w:t>‘emissions to water’ means direct emissions of priority substances as defined in Article 2(30) of Directive 2000/60/EC of the European Parliament and of the Council</w:t>
      </w:r>
      <w:r w:rsidR="00237C9D" w:rsidRPr="008861A7">
        <w:rPr>
          <w:rStyle w:val="FootnoteReference"/>
          <w:rFonts w:eastAsia="Calibri"/>
          <w:bCs/>
          <w:noProof/>
        </w:rPr>
        <w:footnoteReference w:id="6"/>
      </w:r>
      <w:r w:rsidR="00237C9D" w:rsidRPr="008861A7">
        <w:rPr>
          <w:noProof/>
        </w:rPr>
        <w:t xml:space="preserve"> and direct </w:t>
      </w:r>
      <w:r w:rsidR="0005348F" w:rsidRPr="008861A7">
        <w:rPr>
          <w:noProof/>
        </w:rPr>
        <w:t xml:space="preserve">emissions of </w:t>
      </w:r>
      <w:r w:rsidR="00237C9D" w:rsidRPr="008861A7">
        <w:rPr>
          <w:noProof/>
        </w:rPr>
        <w:t>nitrates, phosphate</w:t>
      </w:r>
      <w:r w:rsidR="0005348F" w:rsidRPr="008861A7">
        <w:rPr>
          <w:noProof/>
        </w:rPr>
        <w:t>s</w:t>
      </w:r>
      <w:r w:rsidR="00237C9D" w:rsidRPr="008861A7">
        <w:rPr>
          <w:noProof/>
        </w:rPr>
        <w:t xml:space="preserve"> </w:t>
      </w:r>
      <w:r w:rsidR="0005348F" w:rsidRPr="008861A7">
        <w:rPr>
          <w:noProof/>
        </w:rPr>
        <w:t xml:space="preserve">and </w:t>
      </w:r>
      <w:r w:rsidR="00237C9D" w:rsidRPr="008861A7">
        <w:rPr>
          <w:noProof/>
        </w:rPr>
        <w:t>pesticides</w:t>
      </w:r>
      <w:r w:rsidR="0005348F" w:rsidRPr="008861A7" w:rsidDel="004113D8">
        <w:rPr>
          <w:noProof/>
        </w:rPr>
        <w:t xml:space="preserve"> </w:t>
      </w:r>
      <w:r w:rsidR="00237C9D" w:rsidRPr="008861A7">
        <w:rPr>
          <w:noProof/>
        </w:rPr>
        <w:t>;</w:t>
      </w:r>
    </w:p>
    <w:p w14:paraId="5F5181FA" w14:textId="5684164A" w:rsidR="00237C9D" w:rsidRPr="008861A7" w:rsidRDefault="004E0528" w:rsidP="004E0528">
      <w:pPr>
        <w:pStyle w:val="Point0"/>
        <w:rPr>
          <w:noProof/>
        </w:rPr>
      </w:pPr>
      <w:r w:rsidRPr="004E0528">
        <w:t>(13)</w:t>
      </w:r>
      <w:r w:rsidRPr="004E0528">
        <w:tab/>
      </w:r>
      <w:r w:rsidR="00237C9D" w:rsidRPr="008861A7">
        <w:rPr>
          <w:noProof/>
        </w:rPr>
        <w:t>‘areas of high water stress’ means regions where the percentage of total water withdrawn is high (40-80%) or extremely high (greater than 80%) in the World Resources Institute’s (WRI) Water Risk Atlas tool “Aqueduct”;</w:t>
      </w:r>
    </w:p>
    <w:p w14:paraId="54F43467" w14:textId="23462EF4" w:rsidR="0095628F" w:rsidRPr="008861A7" w:rsidRDefault="004E0528" w:rsidP="004E0528">
      <w:pPr>
        <w:pStyle w:val="Point0"/>
        <w:rPr>
          <w:noProof/>
        </w:rPr>
      </w:pPr>
      <w:r w:rsidRPr="004E0528">
        <w:t>(14)</w:t>
      </w:r>
      <w:r w:rsidRPr="004E0528">
        <w:tab/>
      </w:r>
      <w:r w:rsidR="0095628F" w:rsidRPr="008861A7">
        <w:rPr>
          <w:noProof/>
        </w:rPr>
        <w:t>‘hazardous waste and radioactive waste’ means hazardous waste and radioactive waste;</w:t>
      </w:r>
    </w:p>
    <w:p w14:paraId="378B326E" w14:textId="5D69148C" w:rsidR="00237C9D" w:rsidRPr="008861A7" w:rsidRDefault="004E0528" w:rsidP="004E0528">
      <w:pPr>
        <w:pStyle w:val="Point0"/>
        <w:rPr>
          <w:noProof/>
        </w:rPr>
      </w:pPr>
      <w:r w:rsidRPr="004E0528">
        <w:t>(15)</w:t>
      </w:r>
      <w:r w:rsidRPr="004E0528">
        <w:tab/>
      </w:r>
      <w:r w:rsidR="00237C9D" w:rsidRPr="008861A7">
        <w:rPr>
          <w:noProof/>
        </w:rPr>
        <w:t>‘hazardous waste’ means hazardous waste as defined in Article 3(2) of Directive 2008/98/EC of the European Parliament and of the Council</w:t>
      </w:r>
      <w:r w:rsidR="00237C9D" w:rsidRPr="008861A7">
        <w:rPr>
          <w:rStyle w:val="FootnoteReference"/>
          <w:rFonts w:eastAsia="Calibri"/>
          <w:bCs/>
          <w:noProof/>
        </w:rPr>
        <w:footnoteReference w:id="7"/>
      </w:r>
      <w:r w:rsidR="00237C9D" w:rsidRPr="008861A7">
        <w:rPr>
          <w:noProof/>
        </w:rPr>
        <w:t xml:space="preserve"> ;</w:t>
      </w:r>
    </w:p>
    <w:p w14:paraId="721A65B9" w14:textId="2D8B8B3B" w:rsidR="0095628F" w:rsidRPr="008861A7" w:rsidRDefault="004E0528" w:rsidP="004E0528">
      <w:pPr>
        <w:pStyle w:val="Point0"/>
        <w:rPr>
          <w:rFonts w:eastAsia="Calibri"/>
          <w:bCs/>
          <w:noProof/>
        </w:rPr>
      </w:pPr>
      <w:r w:rsidRPr="004E0528">
        <w:t>(16)</w:t>
      </w:r>
      <w:r w:rsidRPr="004E0528">
        <w:tab/>
      </w:r>
      <w:r w:rsidR="0095628F" w:rsidRPr="008861A7">
        <w:rPr>
          <w:noProof/>
        </w:rPr>
        <w:t xml:space="preserve">‘radioactive waste’ means radioactive waste as defined in Article 3(7) of </w:t>
      </w:r>
      <w:r w:rsidR="0095628F" w:rsidRPr="008861A7">
        <w:rPr>
          <w:rFonts w:eastAsia="Calibri"/>
          <w:bCs/>
          <w:noProof/>
        </w:rPr>
        <w:t>Council Directive 2011/70/Euratom</w:t>
      </w:r>
      <w:r w:rsidR="0095628F" w:rsidRPr="008861A7">
        <w:rPr>
          <w:rStyle w:val="FootnoteReference"/>
          <w:rFonts w:eastAsia="Calibri"/>
          <w:bCs/>
          <w:noProof/>
        </w:rPr>
        <w:footnoteReference w:id="8"/>
      </w:r>
      <w:r w:rsidR="0095628F" w:rsidRPr="008861A7">
        <w:rPr>
          <w:noProof/>
        </w:rPr>
        <w:t>;</w:t>
      </w:r>
    </w:p>
    <w:p w14:paraId="79BD5A26" w14:textId="0D84750F" w:rsidR="00237C9D" w:rsidRPr="008861A7" w:rsidRDefault="004E0528" w:rsidP="004E0528">
      <w:pPr>
        <w:pStyle w:val="Point0"/>
        <w:rPr>
          <w:noProof/>
        </w:rPr>
      </w:pPr>
      <w:r w:rsidRPr="004E0528">
        <w:t>(17)</w:t>
      </w:r>
      <w:r w:rsidRPr="004E0528">
        <w:tab/>
      </w:r>
      <w:r w:rsidR="00237C9D" w:rsidRPr="008861A7">
        <w:rPr>
          <w:noProof/>
        </w:rPr>
        <w:t>‘non-recycled waste’ means any waste not recycled within the meaning of ‘recycling’ in Article 3(17) of Directive 2008/98/EC;</w:t>
      </w:r>
    </w:p>
    <w:p w14:paraId="70384C07" w14:textId="3E9C4EB6" w:rsidR="008B20BD" w:rsidRPr="008861A7" w:rsidRDefault="004E0528" w:rsidP="004E0528">
      <w:pPr>
        <w:pStyle w:val="Point0"/>
        <w:rPr>
          <w:noProof/>
        </w:rPr>
      </w:pPr>
      <w:r w:rsidRPr="004E0528">
        <w:t>(18)</w:t>
      </w:r>
      <w:r w:rsidRPr="004E0528">
        <w:tab/>
      </w:r>
      <w:r w:rsidR="00237C9D" w:rsidRPr="008861A7">
        <w:rPr>
          <w:noProof/>
        </w:rPr>
        <w:t>‘activities negatively affecting biodiversity-sensitive areas’ means activities</w:t>
      </w:r>
      <w:r w:rsidR="008B20BD" w:rsidRPr="008861A7">
        <w:rPr>
          <w:noProof/>
        </w:rPr>
        <w:t xml:space="preserve"> that</w:t>
      </w:r>
      <w:r w:rsidR="003866B5" w:rsidRPr="008861A7">
        <w:rPr>
          <w:noProof/>
        </w:rPr>
        <w:t xml:space="preserve"> are characterised by all of the following</w:t>
      </w:r>
      <w:r w:rsidR="008B20BD" w:rsidRPr="008861A7">
        <w:rPr>
          <w:noProof/>
        </w:rPr>
        <w:t>:</w:t>
      </w:r>
    </w:p>
    <w:p w14:paraId="3AC99BDC" w14:textId="3812A6F8" w:rsidR="008B20BD" w:rsidRPr="008861A7" w:rsidRDefault="004E0528" w:rsidP="004E0528">
      <w:pPr>
        <w:pStyle w:val="Point0"/>
        <w:rPr>
          <w:noProof/>
        </w:rPr>
      </w:pPr>
      <w:r w:rsidRPr="004E0528">
        <w:t>(a)</w:t>
      </w:r>
      <w:r w:rsidRPr="004E0528">
        <w:tab/>
      </w:r>
      <w:r w:rsidR="003866B5" w:rsidRPr="008861A7">
        <w:rPr>
          <w:noProof/>
        </w:rPr>
        <w:t xml:space="preserve">those activities </w:t>
      </w:r>
      <w:r w:rsidR="00237C9D" w:rsidRPr="008861A7">
        <w:rPr>
          <w:noProof/>
        </w:rPr>
        <w:t xml:space="preserve">lead to the deterioration of natural habitats and the habitats of species and </w:t>
      </w:r>
      <w:r w:rsidR="003866B5" w:rsidRPr="008861A7">
        <w:rPr>
          <w:noProof/>
        </w:rPr>
        <w:t>disturb</w:t>
      </w:r>
      <w:r w:rsidR="00237C9D" w:rsidRPr="008861A7">
        <w:rPr>
          <w:noProof/>
        </w:rPr>
        <w:t xml:space="preserve"> the species for which </w:t>
      </w:r>
      <w:r w:rsidR="003866B5" w:rsidRPr="008861A7">
        <w:rPr>
          <w:noProof/>
        </w:rPr>
        <w:t>a</w:t>
      </w:r>
      <w:r w:rsidR="00237C9D" w:rsidRPr="008861A7">
        <w:rPr>
          <w:noProof/>
        </w:rPr>
        <w:t xml:space="preserve"> protected area has been designated;</w:t>
      </w:r>
    </w:p>
    <w:p w14:paraId="636D0F60" w14:textId="5673EB31" w:rsidR="00237C9D" w:rsidRPr="008861A7" w:rsidRDefault="004E0528" w:rsidP="004E0528">
      <w:pPr>
        <w:pStyle w:val="Point0"/>
        <w:rPr>
          <w:noProof/>
        </w:rPr>
      </w:pPr>
      <w:r w:rsidRPr="004E0528">
        <w:t>(b)</w:t>
      </w:r>
      <w:r w:rsidRPr="004E0528">
        <w:tab/>
      </w:r>
      <w:r w:rsidR="003866B5" w:rsidRPr="008861A7">
        <w:rPr>
          <w:noProof/>
        </w:rPr>
        <w:t xml:space="preserve">for those activities, none of the </w:t>
      </w:r>
      <w:r w:rsidR="00237C9D" w:rsidRPr="008861A7">
        <w:rPr>
          <w:noProof/>
        </w:rPr>
        <w:t>conclusions</w:t>
      </w:r>
      <w:r w:rsidR="00C91095" w:rsidRPr="008861A7">
        <w:rPr>
          <w:noProof/>
        </w:rPr>
        <w:t>,</w:t>
      </w:r>
      <w:r w:rsidR="00237C9D" w:rsidRPr="008861A7">
        <w:rPr>
          <w:noProof/>
        </w:rPr>
        <w:t xml:space="preserve"> mitigation measures</w:t>
      </w:r>
      <w:r w:rsidR="00C91095" w:rsidRPr="008861A7">
        <w:rPr>
          <w:noProof/>
        </w:rPr>
        <w:t xml:space="preserve"> or impact assessments</w:t>
      </w:r>
      <w:r w:rsidR="00237C9D" w:rsidRPr="008861A7">
        <w:rPr>
          <w:noProof/>
        </w:rPr>
        <w:t xml:space="preserve"> </w:t>
      </w:r>
      <w:r w:rsidR="003866B5" w:rsidRPr="008861A7">
        <w:rPr>
          <w:noProof/>
        </w:rPr>
        <w:t>adopted pursuant to any of</w:t>
      </w:r>
      <w:r w:rsidR="00237C9D" w:rsidRPr="008861A7">
        <w:rPr>
          <w:noProof/>
        </w:rPr>
        <w:t xml:space="preserve"> the following </w:t>
      </w:r>
      <w:r w:rsidR="003866B5" w:rsidRPr="008861A7">
        <w:rPr>
          <w:noProof/>
        </w:rPr>
        <w:t>Directives</w:t>
      </w:r>
      <w:r w:rsidR="00516E7D" w:rsidRPr="008861A7">
        <w:rPr>
          <w:noProof/>
        </w:rPr>
        <w:t xml:space="preserve"> or national provisions or international standards that are equivalent to those Directives </w:t>
      </w:r>
      <w:r w:rsidR="00237C9D" w:rsidRPr="008861A7">
        <w:rPr>
          <w:noProof/>
        </w:rPr>
        <w:t>have been implemented:</w:t>
      </w:r>
    </w:p>
    <w:p w14:paraId="69F3C883" w14:textId="2D5D0ABF" w:rsidR="00237C9D" w:rsidRPr="008861A7" w:rsidRDefault="008B20BD" w:rsidP="002047F4">
      <w:pPr>
        <w:pStyle w:val="Point1"/>
        <w:rPr>
          <w:noProof/>
        </w:rPr>
      </w:pPr>
      <w:r w:rsidRPr="008861A7">
        <w:rPr>
          <w:noProof/>
        </w:rPr>
        <w:t>(i)</w:t>
      </w:r>
      <w:r w:rsidRPr="008861A7">
        <w:rPr>
          <w:noProof/>
        </w:rPr>
        <w:tab/>
      </w:r>
      <w:r w:rsidR="00237C9D" w:rsidRPr="008861A7">
        <w:rPr>
          <w:noProof/>
        </w:rPr>
        <w:t>Directive 2009/147/EC of the European Parliament and of the Council</w:t>
      </w:r>
      <w:r w:rsidR="00237C9D" w:rsidRPr="008861A7">
        <w:rPr>
          <w:rStyle w:val="FootnoteReference"/>
          <w:noProof/>
        </w:rPr>
        <w:footnoteReference w:id="9"/>
      </w:r>
      <w:r w:rsidR="00237C9D" w:rsidRPr="008861A7">
        <w:rPr>
          <w:noProof/>
        </w:rPr>
        <w:t>;</w:t>
      </w:r>
    </w:p>
    <w:p w14:paraId="48604658" w14:textId="6520F686" w:rsidR="00237C9D" w:rsidRPr="008861A7" w:rsidRDefault="008B20BD" w:rsidP="002047F4">
      <w:pPr>
        <w:pStyle w:val="Point1"/>
        <w:rPr>
          <w:noProof/>
        </w:rPr>
      </w:pPr>
      <w:r w:rsidRPr="008861A7">
        <w:rPr>
          <w:noProof/>
        </w:rPr>
        <w:t>(ii)</w:t>
      </w:r>
      <w:r w:rsidRPr="008861A7">
        <w:rPr>
          <w:noProof/>
        </w:rPr>
        <w:tab/>
      </w:r>
      <w:r w:rsidR="00237C9D" w:rsidRPr="008861A7">
        <w:rPr>
          <w:noProof/>
        </w:rPr>
        <w:t>Council Directive 92/43/EEC</w:t>
      </w:r>
      <w:r w:rsidR="00237C9D" w:rsidRPr="008861A7">
        <w:rPr>
          <w:rStyle w:val="FootnoteReference"/>
          <w:noProof/>
        </w:rPr>
        <w:footnoteReference w:id="10"/>
      </w:r>
      <w:r w:rsidR="00237C9D" w:rsidRPr="008861A7">
        <w:rPr>
          <w:noProof/>
        </w:rPr>
        <w:t>;</w:t>
      </w:r>
    </w:p>
    <w:p w14:paraId="3077885E" w14:textId="25737C3C" w:rsidR="00237C9D" w:rsidRPr="008861A7" w:rsidRDefault="008B20BD" w:rsidP="002047F4">
      <w:pPr>
        <w:pStyle w:val="Point1"/>
        <w:rPr>
          <w:noProof/>
        </w:rPr>
      </w:pPr>
      <w:r w:rsidRPr="008861A7">
        <w:rPr>
          <w:noProof/>
        </w:rPr>
        <w:t>(iii)</w:t>
      </w:r>
      <w:r w:rsidRPr="008861A7">
        <w:rPr>
          <w:noProof/>
        </w:rPr>
        <w:tab/>
      </w:r>
      <w:r w:rsidR="00237C9D" w:rsidRPr="008861A7">
        <w:rPr>
          <w:noProof/>
        </w:rPr>
        <w:t xml:space="preserve">an Environmental Impact Assessment (EIA) </w:t>
      </w:r>
      <w:r w:rsidR="00C91095" w:rsidRPr="008861A7">
        <w:rPr>
          <w:noProof/>
        </w:rPr>
        <w:t>as defined in</w:t>
      </w:r>
      <w:r w:rsidR="00237C9D" w:rsidRPr="008861A7">
        <w:rPr>
          <w:noProof/>
        </w:rPr>
        <w:t xml:space="preserve"> Article 1(2)</w:t>
      </w:r>
      <w:r w:rsidR="00C91095" w:rsidRPr="008861A7">
        <w:rPr>
          <w:noProof/>
        </w:rPr>
        <w:t>,</w:t>
      </w:r>
      <w:r w:rsidR="00237C9D" w:rsidRPr="008861A7">
        <w:rPr>
          <w:noProof/>
        </w:rPr>
        <w:t xml:space="preserve"> </w:t>
      </w:r>
      <w:r w:rsidR="00C91095" w:rsidRPr="008861A7">
        <w:rPr>
          <w:noProof/>
        </w:rPr>
        <w:t xml:space="preserve">point (g), </w:t>
      </w:r>
      <w:r w:rsidR="00237C9D" w:rsidRPr="008861A7">
        <w:rPr>
          <w:noProof/>
        </w:rPr>
        <w:t>of Directive 2011/92/EU of the European Parliament and of the Council</w:t>
      </w:r>
      <w:r w:rsidR="00237C9D" w:rsidRPr="008861A7">
        <w:rPr>
          <w:rStyle w:val="FootnoteReference"/>
          <w:noProof/>
        </w:rPr>
        <w:footnoteReference w:id="11"/>
      </w:r>
      <w:r w:rsidR="00237C9D" w:rsidRPr="008861A7">
        <w:rPr>
          <w:noProof/>
        </w:rPr>
        <w:t>;</w:t>
      </w:r>
    </w:p>
    <w:p w14:paraId="74B7554A" w14:textId="58A21629" w:rsidR="00237C9D" w:rsidRPr="008861A7" w:rsidRDefault="008B20BD" w:rsidP="002047F4">
      <w:pPr>
        <w:pStyle w:val="Point1"/>
        <w:rPr>
          <w:noProof/>
        </w:rPr>
      </w:pPr>
      <w:r w:rsidRPr="008861A7">
        <w:rPr>
          <w:noProof/>
        </w:rPr>
        <w:t>(iv)</w:t>
      </w:r>
      <w:r w:rsidRPr="008861A7">
        <w:rPr>
          <w:noProof/>
        </w:rPr>
        <w:tab/>
      </w:r>
      <w:r w:rsidR="00237C9D" w:rsidRPr="008861A7">
        <w:rPr>
          <w:noProof/>
        </w:rPr>
        <w:t xml:space="preserve">for activities located in third countries, </w:t>
      </w:r>
      <w:r w:rsidR="00C91095" w:rsidRPr="008861A7">
        <w:rPr>
          <w:rFonts w:eastAsia="Calibri"/>
          <w:bCs/>
          <w:noProof/>
        </w:rPr>
        <w:t xml:space="preserve">conclusions, mitigation measures or impact assessments adopted </w:t>
      </w:r>
      <w:r w:rsidR="00237C9D" w:rsidRPr="008861A7">
        <w:rPr>
          <w:noProof/>
        </w:rPr>
        <w:t>in accordance with national provisions or international standards</w:t>
      </w:r>
      <w:r w:rsidR="003866B5" w:rsidRPr="008861A7">
        <w:rPr>
          <w:noProof/>
        </w:rPr>
        <w:t xml:space="preserve"> that are equivalent to the Directives </w:t>
      </w:r>
      <w:r w:rsidR="00C91095" w:rsidRPr="008861A7">
        <w:rPr>
          <w:noProof/>
        </w:rPr>
        <w:t xml:space="preserve">and impact assessments </w:t>
      </w:r>
      <w:r w:rsidR="003866B5" w:rsidRPr="008861A7">
        <w:rPr>
          <w:noProof/>
        </w:rPr>
        <w:t>listed in points (i), (ii) and (iii)</w:t>
      </w:r>
      <w:r w:rsidR="00237C9D" w:rsidRPr="008861A7">
        <w:rPr>
          <w:noProof/>
        </w:rPr>
        <w:t>;</w:t>
      </w:r>
    </w:p>
    <w:p w14:paraId="384FDB3D" w14:textId="29665913" w:rsidR="00EF5B11" w:rsidRPr="008861A7" w:rsidRDefault="004E0528" w:rsidP="004E0528">
      <w:pPr>
        <w:pStyle w:val="Point0"/>
        <w:rPr>
          <w:noProof/>
        </w:rPr>
      </w:pPr>
      <w:r w:rsidRPr="004E0528">
        <w:t>(19)</w:t>
      </w:r>
      <w:r w:rsidRPr="004E0528">
        <w:tab/>
      </w:r>
      <w:r w:rsidR="00EF5B11" w:rsidRPr="008861A7">
        <w:rPr>
          <w:noProof/>
        </w:rPr>
        <w:t xml:space="preserve">‘biodiversity-sensitive areas’ means Natura 2000 network of protected areas, UNESCO World Heritage sites and Key Biodiversity Areas (‘KBAs’), as well as other protected areas, as referred to in </w:t>
      </w:r>
      <w:r w:rsidR="0054290F" w:rsidRPr="008861A7">
        <w:rPr>
          <w:noProof/>
        </w:rPr>
        <w:t xml:space="preserve">Appendix D of </w:t>
      </w:r>
      <w:r w:rsidR="00EF5B11" w:rsidRPr="008861A7">
        <w:rPr>
          <w:noProof/>
        </w:rPr>
        <w:t xml:space="preserve">Annex </w:t>
      </w:r>
      <w:r w:rsidR="0054290F" w:rsidRPr="008861A7">
        <w:rPr>
          <w:noProof/>
        </w:rPr>
        <w:t xml:space="preserve">II </w:t>
      </w:r>
      <w:r w:rsidR="004113D8" w:rsidRPr="008861A7">
        <w:rPr>
          <w:noProof/>
        </w:rPr>
        <w:t>to</w:t>
      </w:r>
      <w:r w:rsidR="00EF5B11" w:rsidRPr="008861A7">
        <w:rPr>
          <w:noProof/>
        </w:rPr>
        <w:t xml:space="preserve"> Commission Delegated Regulation (EU) </w:t>
      </w:r>
      <w:r w:rsidR="005277D1" w:rsidRPr="008861A7">
        <w:rPr>
          <w:noProof/>
        </w:rPr>
        <w:t>2021/2139</w:t>
      </w:r>
      <w:r w:rsidR="00EF5B11" w:rsidRPr="008861A7">
        <w:rPr>
          <w:rStyle w:val="FootnoteReference"/>
          <w:rFonts w:eastAsia="Calibri"/>
          <w:bCs/>
          <w:noProof/>
        </w:rPr>
        <w:footnoteReference w:id="12"/>
      </w:r>
      <w:r w:rsidR="00EF5B11" w:rsidRPr="008861A7">
        <w:rPr>
          <w:noProof/>
        </w:rPr>
        <w:t>;</w:t>
      </w:r>
    </w:p>
    <w:p w14:paraId="6A9A879A" w14:textId="69A99281" w:rsidR="00EF5B11" w:rsidRPr="008861A7" w:rsidRDefault="004E0528" w:rsidP="004E0528">
      <w:pPr>
        <w:pStyle w:val="Point0"/>
        <w:rPr>
          <w:noProof/>
        </w:rPr>
      </w:pPr>
      <w:r w:rsidRPr="004E0528">
        <w:t>(20)</w:t>
      </w:r>
      <w:r w:rsidRPr="004E0528">
        <w:tab/>
      </w:r>
      <w:r w:rsidR="00EF5B11" w:rsidRPr="008861A7">
        <w:rPr>
          <w:noProof/>
        </w:rPr>
        <w:t>‘threatened species’ means endangered species</w:t>
      </w:r>
      <w:r w:rsidR="0038744E" w:rsidRPr="008861A7">
        <w:rPr>
          <w:noProof/>
        </w:rPr>
        <w:t xml:space="preserve">, including </w:t>
      </w:r>
      <w:r w:rsidR="00EF5B11" w:rsidRPr="008861A7">
        <w:rPr>
          <w:noProof/>
        </w:rPr>
        <w:t>flora and fauna</w:t>
      </w:r>
      <w:r w:rsidR="0038744E" w:rsidRPr="008861A7">
        <w:rPr>
          <w:noProof/>
        </w:rPr>
        <w:t>,</w:t>
      </w:r>
      <w:r w:rsidR="00EF5B11" w:rsidRPr="008861A7">
        <w:rPr>
          <w:noProof/>
        </w:rPr>
        <w:t xml:space="preserve"> listed in the European Red List or the IUCN Red List, as referred to in Section 7 of </w:t>
      </w:r>
      <w:r w:rsidR="0054290F" w:rsidRPr="008861A7">
        <w:rPr>
          <w:noProof/>
        </w:rPr>
        <w:t xml:space="preserve">Annex II to </w:t>
      </w:r>
      <w:r w:rsidR="00EF5B11" w:rsidRPr="008861A7">
        <w:rPr>
          <w:noProof/>
        </w:rPr>
        <w:t xml:space="preserve">Delegated Regulation (EU) </w:t>
      </w:r>
      <w:r w:rsidR="005277D1" w:rsidRPr="008861A7">
        <w:rPr>
          <w:noProof/>
        </w:rPr>
        <w:t>2021/2139</w:t>
      </w:r>
      <w:r w:rsidR="00EF5B11" w:rsidRPr="008861A7">
        <w:rPr>
          <w:noProof/>
        </w:rPr>
        <w:t>;</w:t>
      </w:r>
    </w:p>
    <w:p w14:paraId="455113FC" w14:textId="4273A5B9" w:rsidR="00EF5B11" w:rsidRPr="008861A7" w:rsidRDefault="004E0528" w:rsidP="004E0528">
      <w:pPr>
        <w:pStyle w:val="Point0"/>
        <w:rPr>
          <w:noProof/>
        </w:rPr>
      </w:pPr>
      <w:r w:rsidRPr="004E0528">
        <w:t>(21)</w:t>
      </w:r>
      <w:r w:rsidRPr="004E0528">
        <w:tab/>
      </w:r>
      <w:r w:rsidR="00EF5B11" w:rsidRPr="008861A7">
        <w:rPr>
          <w:noProof/>
        </w:rPr>
        <w:t xml:space="preserve">‘deforestation’ means the </w:t>
      </w:r>
      <w:r w:rsidR="0038744E" w:rsidRPr="008861A7">
        <w:rPr>
          <w:noProof/>
        </w:rPr>
        <w:t xml:space="preserve">temporary or permanent </w:t>
      </w:r>
      <w:r w:rsidR="00EF5B11" w:rsidRPr="008861A7">
        <w:rPr>
          <w:noProof/>
        </w:rPr>
        <w:t>human-induced conversion of forested land to non-forested land;</w:t>
      </w:r>
    </w:p>
    <w:p w14:paraId="72E36E00" w14:textId="667F7335" w:rsidR="00EF5B11" w:rsidRPr="008861A7" w:rsidRDefault="004E0528" w:rsidP="004E0528">
      <w:pPr>
        <w:pStyle w:val="Point0"/>
        <w:rPr>
          <w:noProof/>
        </w:rPr>
      </w:pPr>
      <w:r w:rsidRPr="004E0528">
        <w:t>(22)</w:t>
      </w:r>
      <w:r w:rsidRPr="004E0528">
        <w:tab/>
      </w:r>
      <w:r w:rsidR="00EF5B11" w:rsidRPr="008861A7">
        <w:rPr>
          <w:noProof/>
        </w:rPr>
        <w:t xml:space="preserve">‘UN Global Compact principles’ means the </w:t>
      </w:r>
      <w:r w:rsidR="0038744E" w:rsidRPr="008861A7">
        <w:rPr>
          <w:noProof/>
        </w:rPr>
        <w:t>t</w:t>
      </w:r>
      <w:r w:rsidR="00EF5B11" w:rsidRPr="008861A7">
        <w:rPr>
          <w:noProof/>
        </w:rPr>
        <w:t>en Principles of the United Nations Global Compact;</w:t>
      </w:r>
    </w:p>
    <w:p w14:paraId="4AA7A1FF" w14:textId="5E79174B" w:rsidR="00EF5B11" w:rsidRPr="008861A7" w:rsidRDefault="004E0528" w:rsidP="004E0528">
      <w:pPr>
        <w:pStyle w:val="Point0"/>
        <w:rPr>
          <w:noProof/>
        </w:rPr>
      </w:pPr>
      <w:r w:rsidRPr="004E0528">
        <w:t>(23)</w:t>
      </w:r>
      <w:r w:rsidRPr="004E0528">
        <w:tab/>
      </w:r>
      <w:r w:rsidR="004113D8" w:rsidRPr="008861A7">
        <w:rPr>
          <w:noProof/>
        </w:rPr>
        <w:t>‘</w:t>
      </w:r>
      <w:r w:rsidR="00EF5B11" w:rsidRPr="008861A7">
        <w:rPr>
          <w:noProof/>
        </w:rPr>
        <w:t>unadjusted gender pay gap’ means the difference between average gross hourly earnings of male paid employees and of female paid employees as a percentage of average gross hourly earnings of male paid employees;</w:t>
      </w:r>
    </w:p>
    <w:p w14:paraId="1BFE85D6" w14:textId="1EE8A7C6" w:rsidR="00EF5B11" w:rsidRPr="008861A7" w:rsidRDefault="004E0528" w:rsidP="004E0528">
      <w:pPr>
        <w:pStyle w:val="Point0"/>
        <w:rPr>
          <w:noProof/>
        </w:rPr>
      </w:pPr>
      <w:r w:rsidRPr="004E0528">
        <w:t>(24)</w:t>
      </w:r>
      <w:r w:rsidRPr="004E0528">
        <w:tab/>
      </w:r>
      <w:r w:rsidR="00EF5B11" w:rsidRPr="008861A7">
        <w:rPr>
          <w:noProof/>
        </w:rPr>
        <w:t>‘board’ means the administrative, management or supervisory body of a company;</w:t>
      </w:r>
    </w:p>
    <w:p w14:paraId="0E612030" w14:textId="6D061F38" w:rsidR="00EF5B11" w:rsidRPr="008861A7" w:rsidRDefault="004E0528" w:rsidP="004E0528">
      <w:pPr>
        <w:pStyle w:val="Point0"/>
        <w:rPr>
          <w:noProof/>
        </w:rPr>
      </w:pPr>
      <w:r w:rsidRPr="004E0528">
        <w:t>(25)</w:t>
      </w:r>
      <w:r w:rsidRPr="004E0528">
        <w:tab/>
      </w:r>
      <w:r w:rsidR="00EF5B11" w:rsidRPr="008861A7">
        <w:rPr>
          <w:noProof/>
        </w:rPr>
        <w:t xml:space="preserve">‘human rights policy’ means a policy commitment approved at board level on human rights </w:t>
      </w:r>
      <w:r w:rsidR="00F468D4" w:rsidRPr="008861A7">
        <w:rPr>
          <w:noProof/>
        </w:rPr>
        <w:t xml:space="preserve">that </w:t>
      </w:r>
      <w:r w:rsidR="00EF5B11" w:rsidRPr="008861A7">
        <w:rPr>
          <w:noProof/>
        </w:rPr>
        <w:t xml:space="preserve">the economic activities of the investee company </w:t>
      </w:r>
      <w:r w:rsidR="00F468D4" w:rsidRPr="008861A7">
        <w:rPr>
          <w:noProof/>
        </w:rPr>
        <w:t xml:space="preserve">shall be in line </w:t>
      </w:r>
      <w:r w:rsidR="00EF5B11" w:rsidRPr="008861A7">
        <w:rPr>
          <w:noProof/>
        </w:rPr>
        <w:t>with</w:t>
      </w:r>
      <w:r w:rsidR="00F468D4" w:rsidRPr="008861A7">
        <w:rPr>
          <w:noProof/>
        </w:rPr>
        <w:t xml:space="preserve"> the</w:t>
      </w:r>
      <w:r w:rsidR="00EF5B11" w:rsidRPr="008861A7">
        <w:rPr>
          <w:noProof/>
        </w:rPr>
        <w:t xml:space="preserve"> UN Guiding Principles on Business and Human Rights;</w:t>
      </w:r>
    </w:p>
    <w:p w14:paraId="3F1C82D1" w14:textId="47F06958" w:rsidR="00EF5B11" w:rsidRPr="008861A7" w:rsidRDefault="004E0528" w:rsidP="004E0528">
      <w:pPr>
        <w:pStyle w:val="Point0"/>
        <w:rPr>
          <w:noProof/>
        </w:rPr>
      </w:pPr>
      <w:r w:rsidRPr="004E0528">
        <w:t>(26)</w:t>
      </w:r>
      <w:r w:rsidRPr="004E0528">
        <w:tab/>
      </w:r>
      <w:r w:rsidR="00EF5B11" w:rsidRPr="008861A7">
        <w:rPr>
          <w:noProof/>
        </w:rPr>
        <w:t>‘whistleblower’ means ‘reporting person’ as defined in Article 5(7) of Directive (EU) 2019/1937 of the European Parliament and of the Council</w:t>
      </w:r>
      <w:r w:rsidR="00EF5B11" w:rsidRPr="008861A7">
        <w:rPr>
          <w:rStyle w:val="FootnoteReference"/>
          <w:rFonts w:eastAsia="Calibri"/>
          <w:bCs/>
          <w:noProof/>
        </w:rPr>
        <w:footnoteReference w:id="13"/>
      </w:r>
      <w:r w:rsidR="00EF5B11" w:rsidRPr="008861A7">
        <w:rPr>
          <w:noProof/>
        </w:rPr>
        <w:t xml:space="preserve">; </w:t>
      </w:r>
    </w:p>
    <w:p w14:paraId="43D35A4D" w14:textId="7C7FA52B" w:rsidR="00EF5B11" w:rsidRPr="008861A7" w:rsidRDefault="004E0528" w:rsidP="004E0528">
      <w:pPr>
        <w:pStyle w:val="Point0"/>
        <w:rPr>
          <w:noProof/>
        </w:rPr>
      </w:pPr>
      <w:r w:rsidRPr="004E0528">
        <w:t>(27)</w:t>
      </w:r>
      <w:r w:rsidRPr="004E0528">
        <w:tab/>
      </w:r>
      <w:r w:rsidR="00EF5B11" w:rsidRPr="008861A7">
        <w:rPr>
          <w:noProof/>
        </w:rPr>
        <w:t>‘</w:t>
      </w:r>
      <w:r w:rsidR="00EF5B11" w:rsidRPr="008861A7">
        <w:rPr>
          <w:rFonts w:eastAsia="Calibri"/>
          <w:bCs/>
          <w:noProof/>
        </w:rPr>
        <w:t>inorganic</w:t>
      </w:r>
      <w:r w:rsidR="00EF5B11" w:rsidRPr="008861A7">
        <w:rPr>
          <w:noProof/>
        </w:rPr>
        <w:t xml:space="preserve"> pollutants’ means emissions within or lower than the emission levels associated with the best available techniques (BAT-AEL) </w:t>
      </w:r>
      <w:r w:rsidR="00907335" w:rsidRPr="008861A7">
        <w:rPr>
          <w:noProof/>
        </w:rPr>
        <w:t xml:space="preserve"> as defined in Article </w:t>
      </w:r>
      <w:r w:rsidR="000D3C1F" w:rsidRPr="008861A7">
        <w:rPr>
          <w:noProof/>
        </w:rPr>
        <w:t>3, point (1</w:t>
      </w:r>
      <w:r w:rsidR="006C5DB6" w:rsidRPr="008861A7">
        <w:rPr>
          <w:noProof/>
        </w:rPr>
        <w:t>3</w:t>
      </w:r>
      <w:r w:rsidR="000D3C1F" w:rsidRPr="008861A7">
        <w:rPr>
          <w:noProof/>
        </w:rPr>
        <w:t xml:space="preserve">) of </w:t>
      </w:r>
      <w:r w:rsidR="000D3C1F" w:rsidRPr="008861A7">
        <w:rPr>
          <w:rFonts w:eastAsia="Calibri"/>
          <w:bCs/>
          <w:noProof/>
        </w:rPr>
        <w:t>Directive 2010/75/EU of the European Parliament and of the Council</w:t>
      </w:r>
      <w:r w:rsidR="000D3C1F" w:rsidRPr="008861A7">
        <w:rPr>
          <w:rStyle w:val="FootnoteReference"/>
          <w:rFonts w:eastAsia="Calibri"/>
          <w:bCs/>
          <w:noProof/>
        </w:rPr>
        <w:footnoteReference w:id="14"/>
      </w:r>
      <w:r w:rsidR="000D3C1F" w:rsidRPr="008861A7">
        <w:rPr>
          <w:rFonts w:eastAsia="Calibri"/>
          <w:bCs/>
          <w:noProof/>
        </w:rPr>
        <w:t xml:space="preserve">, </w:t>
      </w:r>
      <w:r w:rsidR="00EF5B11" w:rsidRPr="008861A7">
        <w:rPr>
          <w:noProof/>
        </w:rPr>
        <w:t>for the Large Volume Inorganic Chemicals- Solids and Others industry;</w:t>
      </w:r>
    </w:p>
    <w:p w14:paraId="1E3C15AA" w14:textId="0D367052" w:rsidR="001D3001" w:rsidRPr="008861A7" w:rsidRDefault="004E0528" w:rsidP="004E0528">
      <w:pPr>
        <w:pStyle w:val="Point0"/>
        <w:rPr>
          <w:rFonts w:eastAsia="Calibri"/>
          <w:bCs/>
          <w:noProof/>
        </w:rPr>
      </w:pPr>
      <w:r w:rsidRPr="004E0528">
        <w:t>(28)</w:t>
      </w:r>
      <w:r w:rsidRPr="004E0528">
        <w:tab/>
      </w:r>
      <w:r w:rsidR="00EF5B11" w:rsidRPr="008861A7">
        <w:rPr>
          <w:noProof/>
        </w:rPr>
        <w:t xml:space="preserve">‘air pollutants’ means </w:t>
      </w:r>
      <w:r w:rsidR="00B00093" w:rsidRPr="008861A7">
        <w:rPr>
          <w:noProof/>
        </w:rPr>
        <w:t>direct emissions of</w:t>
      </w:r>
      <w:r w:rsidR="00EF5B11" w:rsidRPr="008861A7">
        <w:rPr>
          <w:noProof/>
        </w:rPr>
        <w:t xml:space="preserve"> sulphur dioxides (SO</w:t>
      </w:r>
      <w:r w:rsidR="00EF5B11" w:rsidRPr="008861A7">
        <w:rPr>
          <w:noProof/>
          <w:vertAlign w:val="subscript"/>
        </w:rPr>
        <w:t>2</w:t>
      </w:r>
      <w:r w:rsidR="00EF5B11" w:rsidRPr="008861A7">
        <w:rPr>
          <w:noProof/>
        </w:rPr>
        <w:t>),  nitrogen oxides (NO</w:t>
      </w:r>
      <w:r w:rsidR="00EF5B11" w:rsidRPr="008861A7">
        <w:rPr>
          <w:noProof/>
          <w:vertAlign w:val="subscript"/>
        </w:rPr>
        <w:t>x</w:t>
      </w:r>
      <w:r w:rsidR="00EF5B11" w:rsidRPr="008861A7">
        <w:rPr>
          <w:noProof/>
        </w:rPr>
        <w:t>), non-methane volatile organic compounds (NMVOC)</w:t>
      </w:r>
      <w:r w:rsidR="000D3C1F" w:rsidRPr="008861A7">
        <w:rPr>
          <w:noProof/>
        </w:rPr>
        <w:t xml:space="preserve">, </w:t>
      </w:r>
      <w:r w:rsidR="00EF5B11" w:rsidRPr="008861A7">
        <w:rPr>
          <w:noProof/>
        </w:rPr>
        <w:t xml:space="preserve">and </w:t>
      </w:r>
      <w:r w:rsidR="006C5DB6" w:rsidRPr="008861A7">
        <w:rPr>
          <w:noProof/>
        </w:rPr>
        <w:t xml:space="preserve">fine </w:t>
      </w:r>
      <w:r w:rsidR="00EF5B11" w:rsidRPr="008861A7">
        <w:rPr>
          <w:noProof/>
        </w:rPr>
        <w:t>particulate matter (PM</w:t>
      </w:r>
      <w:r w:rsidR="00EF5B11" w:rsidRPr="008861A7">
        <w:rPr>
          <w:noProof/>
          <w:vertAlign w:val="subscript"/>
        </w:rPr>
        <w:t>2</w:t>
      </w:r>
      <w:r w:rsidR="006C5DB6" w:rsidRPr="008861A7">
        <w:rPr>
          <w:noProof/>
          <w:vertAlign w:val="subscript"/>
        </w:rPr>
        <w:t>,</w:t>
      </w:r>
      <w:r w:rsidR="00EF5B11" w:rsidRPr="008861A7">
        <w:rPr>
          <w:noProof/>
          <w:vertAlign w:val="subscript"/>
        </w:rPr>
        <w:t>5</w:t>
      </w:r>
      <w:r w:rsidR="00EF5B11" w:rsidRPr="008861A7">
        <w:rPr>
          <w:noProof/>
        </w:rPr>
        <w:t>)</w:t>
      </w:r>
      <w:r w:rsidR="000D3C1F" w:rsidRPr="008861A7">
        <w:rPr>
          <w:noProof/>
        </w:rPr>
        <w:t xml:space="preserve">  as defined in Article 3, points (5) to (8), of Directive (EU) 2016/2284 of the European Parliament and of the Council</w:t>
      </w:r>
      <w:r w:rsidR="000D3C1F" w:rsidRPr="008861A7">
        <w:rPr>
          <w:rStyle w:val="FootnoteReference"/>
          <w:noProof/>
        </w:rPr>
        <w:footnoteReference w:id="15"/>
      </w:r>
      <w:r w:rsidR="00EF5B11" w:rsidRPr="008861A7">
        <w:rPr>
          <w:noProof/>
        </w:rPr>
        <w:t>, ammonia (NH</w:t>
      </w:r>
      <w:r w:rsidR="00EF5B11" w:rsidRPr="008861A7">
        <w:rPr>
          <w:noProof/>
          <w:vertAlign w:val="subscript"/>
        </w:rPr>
        <w:t>3</w:t>
      </w:r>
      <w:r w:rsidR="00EF5B11" w:rsidRPr="008861A7">
        <w:rPr>
          <w:noProof/>
        </w:rPr>
        <w:t xml:space="preserve">) </w:t>
      </w:r>
      <w:r w:rsidR="000D3C1F" w:rsidRPr="008861A7">
        <w:rPr>
          <w:noProof/>
        </w:rPr>
        <w:t xml:space="preserve">as referred to in that Directive </w:t>
      </w:r>
      <w:r w:rsidR="00EF5B11" w:rsidRPr="008861A7">
        <w:rPr>
          <w:noProof/>
        </w:rPr>
        <w:t>and heavy metals (HM)</w:t>
      </w:r>
      <w:r w:rsidR="006C5DB6" w:rsidRPr="008861A7">
        <w:rPr>
          <w:noProof/>
        </w:rPr>
        <w:t xml:space="preserve"> as referred to in Annex I to that Directive</w:t>
      </w:r>
      <w:r w:rsidR="00EF590D">
        <w:rPr>
          <w:rFonts w:eastAsia="Calibri"/>
          <w:bCs/>
          <w:noProof/>
        </w:rPr>
        <w:t>;</w:t>
      </w:r>
    </w:p>
    <w:p w14:paraId="0217DE7F" w14:textId="77EE54C1" w:rsidR="001D3001" w:rsidRPr="008861A7" w:rsidRDefault="004E0528" w:rsidP="004E0528">
      <w:pPr>
        <w:pStyle w:val="Point0"/>
        <w:rPr>
          <w:noProof/>
        </w:rPr>
      </w:pPr>
      <w:r w:rsidRPr="004E0528">
        <w:t>(29)</w:t>
      </w:r>
      <w:r w:rsidRPr="004E0528">
        <w:tab/>
      </w:r>
      <w:r w:rsidR="00EF5B11" w:rsidRPr="008861A7">
        <w:rPr>
          <w:noProof/>
        </w:rPr>
        <w:t>‘ozone depletion substances’ mean substances listed in the Montreal Protocol on Substances that Deplete the Ozone Layer.</w:t>
      </w:r>
    </w:p>
    <w:p w14:paraId="68BF6967" w14:textId="48E1951D" w:rsidR="004113D8" w:rsidRPr="008861A7" w:rsidRDefault="004113D8" w:rsidP="007D22B5">
      <w:pPr>
        <w:rPr>
          <w:noProof/>
          <w:szCs w:val="24"/>
        </w:rPr>
      </w:pPr>
      <w:r w:rsidRPr="008861A7">
        <w:rPr>
          <w:noProof/>
          <w:szCs w:val="24"/>
        </w:rPr>
        <w:t>For the purposes of this Annex, the following formulas shall apply:</w:t>
      </w:r>
    </w:p>
    <w:p w14:paraId="123B8843" w14:textId="3D4E17A8" w:rsidR="004113D8" w:rsidRPr="008861A7" w:rsidRDefault="004E0528" w:rsidP="004E0528">
      <w:pPr>
        <w:pStyle w:val="Point0"/>
        <w:rPr>
          <w:noProof/>
        </w:rPr>
      </w:pPr>
      <w:r w:rsidRPr="004E0528">
        <w:t>(1)</w:t>
      </w:r>
      <w:r w:rsidRPr="004E0528">
        <w:tab/>
      </w:r>
      <w:r w:rsidR="004113D8" w:rsidRPr="008861A7">
        <w:rPr>
          <w:noProof/>
        </w:rPr>
        <w:t>‘GHG emissions’ shall be calculated in accordance with the following formula:</w:t>
      </w:r>
    </w:p>
    <w:p w14:paraId="10E735C7" w14:textId="77777777" w:rsidR="004113D8" w:rsidRPr="00810EB1" w:rsidRDefault="001548DE" w:rsidP="004113D8">
      <w:pPr>
        <w:spacing w:before="0" w:after="160" w:line="254" w:lineRule="auto"/>
        <w:ind w:left="567" w:hanging="567"/>
        <w:contextualSpacing/>
        <w:jc w:val="left"/>
        <w:rPr>
          <w:rFonts w:ascii="Calibri" w:eastAsia="Calibri" w:hAnsi="Calibri" w:cs="Calibri"/>
          <w:bCs/>
          <w:noProof/>
          <w:sz w:val="20"/>
          <w:szCs w:val="20"/>
        </w:rPr>
      </w:pPr>
      <m:oMathPara>
        <m:oMathParaPr>
          <m:jc m:val="center"/>
        </m:oMathParaPr>
        <m:oMath>
          <m:nary>
            <m:naryPr>
              <m:chr m:val="∑"/>
              <m:limLoc m:val="undOvr"/>
              <m:ctrlPr>
                <w:rPr>
                  <w:rFonts w:ascii="Cambria Math" w:eastAsia="Calibri" w:hAnsi="Cambria Math" w:cs="Calibri"/>
                  <w:bCs/>
                  <w:i/>
                  <w:noProof/>
                  <w:sz w:val="20"/>
                  <w:szCs w:val="20"/>
                </w:rPr>
              </m:ctrlPr>
            </m:naryPr>
            <m:sub>
              <m:r>
                <w:rPr>
                  <w:rFonts w:ascii="Cambria Math" w:eastAsia="Calibri" w:hAnsi="Cambria Math" w:cs="Calibri"/>
                  <w:noProof/>
                  <w:sz w:val="20"/>
                  <w:szCs w:val="20"/>
                  <w:lang w:eastAsia="en-GB"/>
                </w:rPr>
                <m:t>n</m:t>
              </m:r>
            </m:sub>
            <m:sup>
              <m:r>
                <w:rPr>
                  <w:rFonts w:ascii="Cambria Math" w:eastAsia="Calibri" w:hAnsi="Cambria Math" w:cs="Calibri"/>
                  <w:noProof/>
                  <w:sz w:val="20"/>
                  <w:szCs w:val="20"/>
                  <w:lang w:eastAsia="en-GB"/>
                </w:rPr>
                <m:t>i</m:t>
              </m:r>
            </m:sup>
            <m:e>
              <m:d>
                <m:dPr>
                  <m:ctrlPr>
                    <w:rPr>
                      <w:rFonts w:ascii="Cambria Math" w:eastAsia="Calibri" w:hAnsi="Cambria Math" w:cs="Calibri"/>
                      <w:bCs/>
                      <w:i/>
                      <w:noProof/>
                      <w:sz w:val="20"/>
                      <w:szCs w:val="20"/>
                    </w:rPr>
                  </m:ctrlPr>
                </m:dPr>
                <m:e>
                  <m:f>
                    <m:fPr>
                      <m:ctrlPr>
                        <w:rPr>
                          <w:rFonts w:ascii="Cambria Math" w:eastAsia="Calibri" w:hAnsi="Cambria Math" w:cs="Calibri"/>
                          <w:bCs/>
                          <w:i/>
                          <w:noProof/>
                          <w:sz w:val="20"/>
                          <w:szCs w:val="20"/>
                        </w:rPr>
                      </m:ctrlPr>
                    </m:fPr>
                    <m:num>
                      <m:sSub>
                        <m:sSubPr>
                          <m:ctrlPr>
                            <w:rPr>
                              <w:rFonts w:ascii="Cambria Math" w:eastAsia="Calibri" w:hAnsi="Cambria Math" w:cs="Calibri"/>
                              <w:bCs/>
                              <w:i/>
                              <w:noProof/>
                              <w:sz w:val="20"/>
                              <w:szCs w:val="20"/>
                            </w:rPr>
                          </m:ctrlPr>
                        </m:sSubPr>
                        <m:e>
                          <m:r>
                            <w:rPr>
                              <w:rFonts w:ascii="Cambria Math" w:eastAsia="Calibri" w:hAnsi="Cambria Math" w:cs="Calibri"/>
                              <w:noProof/>
                              <w:sz w:val="20"/>
                              <w:szCs w:val="20"/>
                              <w:lang w:eastAsia="en-GB"/>
                            </w:rPr>
                            <m:t>current value of investment</m:t>
                          </m:r>
                        </m:e>
                        <m:sub>
                          <m:r>
                            <w:rPr>
                              <w:rFonts w:ascii="Cambria Math" w:eastAsia="Calibri" w:hAnsi="Cambria Math" w:cs="Calibri"/>
                              <w:noProof/>
                              <w:sz w:val="20"/>
                              <w:szCs w:val="20"/>
                              <w:lang w:eastAsia="en-GB"/>
                            </w:rPr>
                            <m:t>i</m:t>
                          </m:r>
                        </m:sub>
                      </m:sSub>
                    </m:num>
                    <m:den>
                      <m:sSub>
                        <m:sSubPr>
                          <m:ctrlPr>
                            <w:rPr>
                              <w:rFonts w:ascii="Cambria Math" w:eastAsia="Calibri" w:hAnsi="Cambria Math" w:cs="Calibri"/>
                              <w:bCs/>
                              <w:i/>
                              <w:noProof/>
                              <w:sz w:val="20"/>
                              <w:szCs w:val="20"/>
                            </w:rPr>
                          </m:ctrlPr>
                        </m:sSubPr>
                        <m:e>
                          <m:r>
                            <w:rPr>
                              <w:rFonts w:ascii="Cambria Math" w:eastAsia="Calibri" w:hAnsi="Cambria Math" w:cs="Calibri"/>
                              <w:noProof/>
                              <w:sz w:val="20"/>
                              <w:szCs w:val="20"/>
                              <w:lang w:eastAsia="en-GB"/>
                            </w:rPr>
                            <m:t>investee compan</m:t>
                          </m:r>
                          <m:sSup>
                            <m:sSupPr>
                              <m:ctrlPr>
                                <w:rPr>
                                  <w:rFonts w:ascii="Cambria Math" w:eastAsia="Calibri" w:hAnsi="Cambria Math" w:cs="Calibri"/>
                                  <w:i/>
                                  <w:noProof/>
                                  <w:sz w:val="20"/>
                                  <w:szCs w:val="20"/>
                                </w:rPr>
                              </m:ctrlPr>
                            </m:sSupPr>
                            <m:e>
                              <m:r>
                                <w:rPr>
                                  <w:rFonts w:ascii="Cambria Math" w:eastAsia="Calibri" w:hAnsi="Cambria Math" w:cs="Calibri"/>
                                  <w:noProof/>
                                  <w:sz w:val="20"/>
                                  <w:szCs w:val="20"/>
                                  <w:lang w:eastAsia="en-GB"/>
                                </w:rPr>
                                <m:t>y</m:t>
                              </m:r>
                            </m:e>
                            <m:sup>
                              <m:r>
                                <w:rPr>
                                  <w:rFonts w:ascii="Cambria Math" w:eastAsia="Calibri" w:hAnsi="Cambria Math" w:cs="Calibri"/>
                                  <w:noProof/>
                                  <w:sz w:val="20"/>
                                  <w:szCs w:val="20"/>
                                  <w:lang w:eastAsia="en-GB"/>
                                </w:rPr>
                                <m:t>'</m:t>
                              </m:r>
                            </m:sup>
                          </m:sSup>
                          <m:r>
                            <w:rPr>
                              <w:rFonts w:ascii="Cambria Math" w:eastAsia="Calibri" w:hAnsi="Cambria Math" w:cs="Calibri"/>
                              <w:noProof/>
                              <w:sz w:val="20"/>
                              <w:szCs w:val="20"/>
                              <w:lang w:eastAsia="en-GB"/>
                            </w:rPr>
                            <m:t>s enterprise value</m:t>
                          </m:r>
                        </m:e>
                        <m:sub>
                          <m:r>
                            <w:rPr>
                              <w:rFonts w:ascii="Cambria Math" w:eastAsia="Calibri" w:hAnsi="Cambria Math" w:cs="Calibri"/>
                              <w:noProof/>
                              <w:sz w:val="20"/>
                              <w:szCs w:val="20"/>
                              <w:lang w:eastAsia="en-GB"/>
                            </w:rPr>
                            <m:t>i</m:t>
                          </m:r>
                        </m:sub>
                      </m:sSub>
                    </m:den>
                  </m:f>
                  <m:r>
                    <w:rPr>
                      <w:rFonts w:ascii="Cambria Math" w:eastAsia="Calibri" w:hAnsi="Cambria Math" w:cs="Calibri"/>
                      <w:noProof/>
                      <w:sz w:val="20"/>
                      <w:szCs w:val="20"/>
                      <w:lang w:eastAsia="en-GB"/>
                    </w:rPr>
                    <m:t>×</m:t>
                  </m:r>
                  <m:sSub>
                    <m:sSubPr>
                      <m:ctrlPr>
                        <w:rPr>
                          <w:rFonts w:ascii="Cambria Math" w:eastAsia="Calibri" w:hAnsi="Cambria Math" w:cs="Calibri"/>
                          <w:bCs/>
                          <w:i/>
                          <w:noProof/>
                          <w:sz w:val="20"/>
                          <w:szCs w:val="20"/>
                        </w:rPr>
                      </m:ctrlPr>
                    </m:sSubPr>
                    <m:e>
                      <m:r>
                        <w:rPr>
                          <w:rFonts w:ascii="Cambria Math" w:eastAsia="Calibri" w:hAnsi="Cambria Math" w:cs="Calibri"/>
                          <w:noProof/>
                          <w:sz w:val="20"/>
                          <w:szCs w:val="20"/>
                          <w:lang w:eastAsia="en-GB"/>
                        </w:rPr>
                        <m:t>investee company's Scope(x) GHG emissions</m:t>
                      </m:r>
                    </m:e>
                    <m:sub>
                      <m:r>
                        <w:rPr>
                          <w:rFonts w:ascii="Cambria Math" w:eastAsia="Calibri" w:hAnsi="Cambria Math" w:cs="Calibri"/>
                          <w:noProof/>
                          <w:sz w:val="20"/>
                          <w:szCs w:val="20"/>
                          <w:lang w:eastAsia="en-GB"/>
                        </w:rPr>
                        <m:t>i</m:t>
                      </m:r>
                    </m:sub>
                  </m:sSub>
                  <m:ctrlPr>
                    <w:rPr>
                      <w:rFonts w:ascii="Cambria Math" w:eastAsia="Calibri" w:hAnsi="Cambria Math" w:cs="Calibri"/>
                      <w:bCs/>
                      <w:noProof/>
                      <w:sz w:val="20"/>
                      <w:szCs w:val="20"/>
                    </w:rPr>
                  </m:ctrlPr>
                </m:e>
              </m:d>
            </m:e>
          </m:nary>
        </m:oMath>
      </m:oMathPara>
    </w:p>
    <w:p w14:paraId="1106D90E" w14:textId="77777777" w:rsidR="00FE0154" w:rsidRPr="008861A7" w:rsidRDefault="00FE0154" w:rsidP="004113D8">
      <w:pPr>
        <w:spacing w:before="0" w:after="160" w:line="254" w:lineRule="auto"/>
        <w:ind w:left="567" w:hanging="567"/>
        <w:contextualSpacing/>
        <w:jc w:val="left"/>
        <w:rPr>
          <w:rFonts w:ascii="Calibri" w:eastAsia="Calibri" w:hAnsi="Calibri" w:cs="Calibri"/>
          <w:bCs/>
          <w:noProof/>
          <w:sz w:val="20"/>
          <w:szCs w:val="20"/>
          <w:lang w:eastAsia="en-GB"/>
        </w:rPr>
      </w:pPr>
    </w:p>
    <w:p w14:paraId="4EC1A5AF" w14:textId="21AE7869" w:rsidR="004113D8" w:rsidRPr="008861A7" w:rsidRDefault="004E0528" w:rsidP="004E0528">
      <w:pPr>
        <w:pStyle w:val="Point0"/>
        <w:rPr>
          <w:noProof/>
        </w:rPr>
      </w:pPr>
      <w:r w:rsidRPr="004E0528">
        <w:t>(2)</w:t>
      </w:r>
      <w:r w:rsidRPr="004E0528">
        <w:tab/>
      </w:r>
      <w:r w:rsidR="004113D8" w:rsidRPr="008861A7">
        <w:rPr>
          <w:noProof/>
        </w:rPr>
        <w:t>‘carbon footprint’ shall be calculated in accordance with the following formula:</w:t>
      </w:r>
    </w:p>
    <w:p w14:paraId="75FDFBDE" w14:textId="77777777" w:rsidR="004113D8" w:rsidRPr="00810EB1" w:rsidRDefault="001548DE" w:rsidP="004113D8">
      <w:pPr>
        <w:spacing w:before="0" w:after="160" w:line="254" w:lineRule="auto"/>
        <w:ind w:left="567" w:hanging="567"/>
        <w:contextualSpacing/>
        <w:jc w:val="left"/>
        <w:rPr>
          <w:rFonts w:ascii="Calibri" w:eastAsia="Calibri" w:hAnsi="Calibri" w:cs="Calibri"/>
          <w:noProof/>
          <w:sz w:val="20"/>
          <w:szCs w:val="20"/>
          <w:lang w:eastAsia="en-GB"/>
        </w:rPr>
      </w:pPr>
      <m:oMathPara>
        <m:oMathParaPr>
          <m:jc m:val="center"/>
        </m:oMathParaPr>
        <m:oMath>
          <m:f>
            <m:fPr>
              <m:ctrlPr>
                <w:rPr>
                  <w:rFonts w:ascii="Cambria Math" w:eastAsia="Times New Roman" w:hAnsi="Cambria Math" w:cs="Calibri"/>
                  <w:i/>
                  <w:noProof/>
                  <w:sz w:val="20"/>
                  <w:szCs w:val="20"/>
                </w:rPr>
              </m:ctrlPr>
            </m:fPr>
            <m:num>
              <m:nary>
                <m:naryPr>
                  <m:chr m:val="∑"/>
                  <m:limLoc m:val="undOvr"/>
                  <m:ctrlPr>
                    <w:rPr>
                      <w:rFonts w:ascii="Cambria Math" w:eastAsia="Times New Roman" w:hAnsi="Cambria Math" w:cs="Calibri"/>
                      <w:i/>
                      <w:noProof/>
                      <w:sz w:val="20"/>
                      <w:szCs w:val="20"/>
                    </w:rPr>
                  </m:ctrlPr>
                </m:naryPr>
                <m:sub>
                  <m:r>
                    <w:rPr>
                      <w:rFonts w:ascii="Cambria Math" w:eastAsia="Times New Roman" w:hAnsi="Cambria Math" w:cs="Calibri"/>
                      <w:noProof/>
                      <w:sz w:val="20"/>
                      <w:szCs w:val="20"/>
                      <w:lang w:eastAsia="en-GB"/>
                    </w:rPr>
                    <m:t>n</m:t>
                  </m:r>
                </m:sub>
                <m:sup>
                  <m:r>
                    <w:rPr>
                      <w:rFonts w:ascii="Cambria Math" w:eastAsia="Times New Roman" w:hAnsi="Cambria Math" w:cs="Calibri"/>
                      <w:noProof/>
                      <w:sz w:val="20"/>
                      <w:szCs w:val="20"/>
                      <w:lang w:eastAsia="en-GB"/>
                    </w:rPr>
                    <m:t>i</m:t>
                  </m:r>
                </m:sup>
                <m:e>
                  <m:d>
                    <m:dPr>
                      <m:ctrlPr>
                        <w:rPr>
                          <w:rFonts w:ascii="Cambria Math" w:eastAsia="Times New Roman" w:hAnsi="Cambria Math" w:cs="Calibri"/>
                          <w:i/>
                          <w:noProof/>
                          <w:sz w:val="20"/>
                          <w:szCs w:val="20"/>
                        </w:rPr>
                      </m:ctrlPr>
                    </m:dPr>
                    <m:e>
                      <m:f>
                        <m:fPr>
                          <m:ctrlPr>
                            <w:rPr>
                              <w:rFonts w:ascii="Cambria Math" w:eastAsia="Times New Roman" w:hAnsi="Cambria Math" w:cs="Calibri"/>
                              <w:i/>
                              <w:noProof/>
                              <w:sz w:val="20"/>
                              <w:szCs w:val="20"/>
                            </w:rPr>
                          </m:ctrlPr>
                        </m:fPr>
                        <m:num>
                          <m:sSub>
                            <m:sSubPr>
                              <m:ctrlPr>
                                <w:rPr>
                                  <w:rFonts w:ascii="Cambria Math" w:eastAsia="Times New Roman" w:hAnsi="Cambria Math" w:cs="Calibri"/>
                                  <w:i/>
                                  <w:noProof/>
                                  <w:sz w:val="20"/>
                                  <w:szCs w:val="20"/>
                                </w:rPr>
                              </m:ctrlPr>
                            </m:sSubPr>
                            <m:e>
                              <m:r>
                                <w:rPr>
                                  <w:rFonts w:ascii="Cambria Math" w:eastAsia="Times New Roman" w:hAnsi="Cambria Math" w:cs="Calibri"/>
                                  <w:noProof/>
                                  <w:sz w:val="20"/>
                                  <w:szCs w:val="20"/>
                                  <w:lang w:eastAsia="en-GB"/>
                                </w:rPr>
                                <m:t>current value of investment</m:t>
                              </m:r>
                            </m:e>
                            <m:sub>
                              <m:r>
                                <w:rPr>
                                  <w:rFonts w:ascii="Cambria Math" w:eastAsia="Times New Roman" w:hAnsi="Cambria Math" w:cs="Calibri"/>
                                  <w:noProof/>
                                  <w:sz w:val="20"/>
                                  <w:szCs w:val="20"/>
                                  <w:lang w:eastAsia="en-GB"/>
                                </w:rPr>
                                <m:t>i</m:t>
                              </m:r>
                            </m:sub>
                          </m:sSub>
                        </m:num>
                        <m:den>
                          <m:sSub>
                            <m:sSubPr>
                              <m:ctrlPr>
                                <w:rPr>
                                  <w:rFonts w:ascii="Cambria Math" w:eastAsia="Calibri" w:hAnsi="Cambria Math" w:cs="Calibri"/>
                                  <w:bCs/>
                                  <w:i/>
                                  <w:noProof/>
                                  <w:sz w:val="20"/>
                                  <w:szCs w:val="20"/>
                                </w:rPr>
                              </m:ctrlPr>
                            </m:sSubPr>
                            <m:e>
                              <m:r>
                                <w:rPr>
                                  <w:rFonts w:ascii="Cambria Math" w:eastAsia="Calibri" w:hAnsi="Cambria Math" w:cs="Calibri"/>
                                  <w:noProof/>
                                  <w:sz w:val="20"/>
                                  <w:szCs w:val="20"/>
                                  <w:lang w:eastAsia="en-GB"/>
                                </w:rPr>
                                <m:t>investee compan</m:t>
                              </m:r>
                              <m:sSup>
                                <m:sSupPr>
                                  <m:ctrlPr>
                                    <w:rPr>
                                      <w:rFonts w:ascii="Cambria Math" w:eastAsia="Calibri" w:hAnsi="Cambria Math" w:cs="Calibri"/>
                                      <w:i/>
                                      <w:noProof/>
                                      <w:sz w:val="20"/>
                                      <w:szCs w:val="20"/>
                                    </w:rPr>
                                  </m:ctrlPr>
                                </m:sSupPr>
                                <m:e>
                                  <m:r>
                                    <w:rPr>
                                      <w:rFonts w:ascii="Cambria Math" w:eastAsia="Calibri" w:hAnsi="Cambria Math" w:cs="Calibri"/>
                                      <w:noProof/>
                                      <w:sz w:val="20"/>
                                      <w:szCs w:val="20"/>
                                      <w:lang w:eastAsia="en-GB"/>
                                    </w:rPr>
                                    <m:t>y</m:t>
                                  </m:r>
                                </m:e>
                                <m:sup>
                                  <m:r>
                                    <w:rPr>
                                      <w:rFonts w:ascii="Cambria Math" w:eastAsia="Calibri" w:hAnsi="Cambria Math" w:cs="Calibri"/>
                                      <w:noProof/>
                                      <w:sz w:val="20"/>
                                      <w:szCs w:val="20"/>
                                      <w:lang w:eastAsia="en-GB"/>
                                    </w:rPr>
                                    <m:t>'</m:t>
                                  </m:r>
                                </m:sup>
                              </m:sSup>
                              <m:r>
                                <w:rPr>
                                  <w:rFonts w:ascii="Cambria Math" w:eastAsia="Calibri" w:hAnsi="Cambria Math" w:cs="Calibri"/>
                                  <w:noProof/>
                                  <w:sz w:val="20"/>
                                  <w:szCs w:val="20"/>
                                  <w:lang w:eastAsia="en-GB"/>
                                </w:rPr>
                                <m:t>s enterprise value</m:t>
                              </m:r>
                            </m:e>
                            <m:sub>
                              <m:r>
                                <w:rPr>
                                  <w:rFonts w:ascii="Cambria Math" w:eastAsia="Calibri" w:hAnsi="Cambria Math" w:cs="Calibri"/>
                                  <w:noProof/>
                                  <w:sz w:val="20"/>
                                  <w:szCs w:val="20"/>
                                  <w:lang w:eastAsia="en-GB"/>
                                </w:rPr>
                                <m:t>i</m:t>
                              </m:r>
                            </m:sub>
                          </m:sSub>
                        </m:den>
                      </m:f>
                      <m:r>
                        <w:rPr>
                          <w:rFonts w:ascii="Cambria Math" w:eastAsia="Times New Roman" w:hAnsi="Cambria Math" w:cs="Calibri"/>
                          <w:noProof/>
                          <w:sz w:val="20"/>
                          <w:szCs w:val="20"/>
                          <w:lang w:eastAsia="en-GB"/>
                        </w:rPr>
                        <m:t>×</m:t>
                      </m:r>
                      <m:sSub>
                        <m:sSubPr>
                          <m:ctrlPr>
                            <w:rPr>
                              <w:rFonts w:ascii="Cambria Math" w:eastAsia="Times New Roman" w:hAnsi="Cambria Math" w:cs="Calibri"/>
                              <w:i/>
                              <w:noProof/>
                              <w:sz w:val="20"/>
                              <w:szCs w:val="20"/>
                            </w:rPr>
                          </m:ctrlPr>
                        </m:sSubPr>
                        <m:e>
                          <m:r>
                            <w:rPr>
                              <w:rFonts w:ascii="Cambria Math" w:eastAsia="Times New Roman" w:hAnsi="Cambria Math" w:cs="Calibri"/>
                              <w:noProof/>
                              <w:sz w:val="20"/>
                              <w:szCs w:val="20"/>
                              <w:lang w:eastAsia="en-GB"/>
                            </w:rPr>
                            <m:t>investee company's Scope 1, 2 and 3 GHG emissions</m:t>
                          </m:r>
                        </m:e>
                        <m:sub>
                          <m:r>
                            <w:rPr>
                              <w:rFonts w:ascii="Cambria Math" w:eastAsia="Times New Roman" w:hAnsi="Cambria Math" w:cs="Calibri"/>
                              <w:noProof/>
                              <w:sz w:val="20"/>
                              <w:szCs w:val="20"/>
                              <w:lang w:eastAsia="en-GB"/>
                            </w:rPr>
                            <m:t>i</m:t>
                          </m:r>
                        </m:sub>
                      </m:sSub>
                    </m:e>
                  </m:d>
                </m:e>
              </m:nary>
            </m:num>
            <m:den>
              <m:r>
                <w:rPr>
                  <w:rFonts w:ascii="Cambria Math" w:eastAsia="Times New Roman" w:hAnsi="Cambria Math" w:cs="Calibri"/>
                  <w:noProof/>
                  <w:sz w:val="20"/>
                  <w:szCs w:val="20"/>
                  <w:lang w:eastAsia="en-GB"/>
                </w:rPr>
                <m:t>current value of all investments (€M)</m:t>
              </m:r>
            </m:den>
          </m:f>
        </m:oMath>
      </m:oMathPara>
    </w:p>
    <w:p w14:paraId="2BB476ED" w14:textId="77777777" w:rsidR="00FE0154" w:rsidRPr="008861A7" w:rsidRDefault="00FE0154" w:rsidP="004113D8">
      <w:pPr>
        <w:spacing w:before="0" w:after="160" w:line="254" w:lineRule="auto"/>
        <w:ind w:left="567" w:hanging="567"/>
        <w:contextualSpacing/>
        <w:jc w:val="left"/>
        <w:rPr>
          <w:rFonts w:ascii="Calibri" w:eastAsia="Calibri" w:hAnsi="Calibri" w:cs="Calibri"/>
          <w:noProof/>
          <w:sz w:val="20"/>
          <w:szCs w:val="20"/>
          <w:lang w:eastAsia="en-GB"/>
        </w:rPr>
      </w:pPr>
    </w:p>
    <w:p w14:paraId="45431E91" w14:textId="1CEBEB4C" w:rsidR="004113D8" w:rsidRPr="008861A7" w:rsidRDefault="004E0528" w:rsidP="004E0528">
      <w:pPr>
        <w:pStyle w:val="Point0"/>
        <w:rPr>
          <w:noProof/>
        </w:rPr>
      </w:pPr>
      <w:r w:rsidRPr="004E0528">
        <w:t>(3)</w:t>
      </w:r>
      <w:r w:rsidRPr="004E0528">
        <w:tab/>
      </w:r>
      <w:r w:rsidR="004113D8" w:rsidRPr="008861A7" w:rsidDel="00DC7A0D">
        <w:rPr>
          <w:noProof/>
        </w:rPr>
        <w:t xml:space="preserve"> </w:t>
      </w:r>
      <w:r w:rsidR="004113D8" w:rsidRPr="008861A7">
        <w:rPr>
          <w:noProof/>
        </w:rPr>
        <w:t xml:space="preserve">‘GHG intensity of investee companies’ shall be calculated in accordance with the following formula: </w:t>
      </w:r>
    </w:p>
    <w:p w14:paraId="3AF86A8E" w14:textId="77777777" w:rsidR="004113D8" w:rsidRPr="008861A7" w:rsidRDefault="001548DE" w:rsidP="004113D8">
      <w:pPr>
        <w:spacing w:after="160" w:line="254" w:lineRule="auto"/>
        <w:ind w:left="567" w:hanging="567"/>
        <w:contextualSpacing/>
        <w:rPr>
          <w:rFonts w:asciiTheme="minorHAnsi" w:eastAsia="Calibri" w:hAnsiTheme="minorHAnsi" w:cstheme="minorHAnsi"/>
          <w:noProof/>
          <w:sz w:val="20"/>
          <w:szCs w:val="20"/>
        </w:rPr>
      </w:pPr>
      <m:oMathPara>
        <m:oMath>
          <m:nary>
            <m:naryPr>
              <m:chr m:val="∑"/>
              <m:limLoc m:val="undOvr"/>
              <m:ctrlPr>
                <w:rPr>
                  <w:rFonts w:ascii="Cambria Math" w:eastAsia="Calibri" w:hAnsi="Cambria Math" w:cstheme="minorHAnsi"/>
                  <w:i/>
                  <w:noProof/>
                  <w:sz w:val="20"/>
                  <w:szCs w:val="20"/>
                </w:rPr>
              </m:ctrlPr>
            </m:naryPr>
            <m:sub>
              <m:r>
                <w:rPr>
                  <w:rFonts w:ascii="Cambria Math" w:eastAsia="Calibri" w:hAnsi="Cambria Math" w:cstheme="minorHAnsi"/>
                  <w:noProof/>
                  <w:sz w:val="20"/>
                  <w:szCs w:val="20"/>
                </w:rPr>
                <m:t>n</m:t>
              </m:r>
            </m:sub>
            <m:sup>
              <m:r>
                <w:rPr>
                  <w:rFonts w:ascii="Cambria Math" w:eastAsia="Calibri" w:hAnsi="Cambria Math" w:cstheme="minorHAnsi"/>
                  <w:noProof/>
                  <w:sz w:val="20"/>
                  <w:szCs w:val="20"/>
                </w:rPr>
                <m:t>i</m:t>
              </m:r>
            </m:sup>
            <m:e>
              <m:d>
                <m:dPr>
                  <m:ctrlPr>
                    <w:rPr>
                      <w:rFonts w:ascii="Cambria Math" w:eastAsia="Calibri" w:hAnsi="Cambria Math" w:cstheme="minorHAnsi"/>
                      <w:i/>
                      <w:noProof/>
                      <w:sz w:val="20"/>
                      <w:szCs w:val="20"/>
                    </w:rPr>
                  </m:ctrlPr>
                </m:dPr>
                <m:e>
                  <m:f>
                    <m:fPr>
                      <m:ctrlPr>
                        <w:rPr>
                          <w:rFonts w:ascii="Cambria Math" w:eastAsia="Calibri" w:hAnsi="Cambria Math" w:cstheme="minorHAnsi"/>
                          <w:i/>
                          <w:noProof/>
                          <w:sz w:val="20"/>
                          <w:szCs w:val="20"/>
                        </w:rPr>
                      </m:ctrlPr>
                    </m:fPr>
                    <m:num>
                      <m:sSub>
                        <m:sSubPr>
                          <m:ctrlPr>
                            <w:rPr>
                              <w:rFonts w:ascii="Cambria Math" w:eastAsia="Calibri" w:hAnsi="Cambria Math" w:cstheme="minorHAnsi"/>
                              <w:i/>
                              <w:noProof/>
                              <w:sz w:val="20"/>
                              <w:szCs w:val="20"/>
                            </w:rPr>
                          </m:ctrlPr>
                        </m:sSubPr>
                        <m:e>
                          <m:r>
                            <w:rPr>
                              <w:rFonts w:ascii="Cambria Math" w:eastAsia="Calibri" w:hAnsi="Cambria Math" w:cstheme="minorHAnsi"/>
                              <w:noProof/>
                              <w:sz w:val="20"/>
                              <w:szCs w:val="20"/>
                            </w:rPr>
                            <m:t>current value of investment</m:t>
                          </m:r>
                        </m:e>
                        <m:sub>
                          <m:r>
                            <w:rPr>
                              <w:rFonts w:ascii="Cambria Math" w:eastAsia="Calibri" w:hAnsi="Cambria Math" w:cstheme="minorHAnsi"/>
                              <w:noProof/>
                              <w:sz w:val="20"/>
                              <w:szCs w:val="20"/>
                            </w:rPr>
                            <m:t>i</m:t>
                          </m:r>
                        </m:sub>
                      </m:sSub>
                    </m:num>
                    <m:den>
                      <m:r>
                        <w:rPr>
                          <w:rFonts w:ascii="Cambria Math" w:eastAsia="Calibri" w:hAnsi="Cambria Math" w:cstheme="minorHAnsi"/>
                          <w:noProof/>
                          <w:sz w:val="20"/>
                          <w:szCs w:val="20"/>
                        </w:rPr>
                        <m:t>current value of all investments (€M)</m:t>
                      </m:r>
                    </m:den>
                  </m:f>
                  <m:r>
                    <w:rPr>
                      <w:rFonts w:ascii="Cambria Math" w:eastAsia="Calibri" w:hAnsi="Cambria Math" w:cstheme="minorHAnsi"/>
                      <w:noProof/>
                      <w:sz w:val="20"/>
                      <w:szCs w:val="20"/>
                    </w:rPr>
                    <m:t>×</m:t>
                  </m:r>
                  <m:f>
                    <m:fPr>
                      <m:ctrlPr>
                        <w:rPr>
                          <w:rFonts w:ascii="Cambria Math" w:hAnsi="Cambria Math" w:cstheme="minorHAnsi"/>
                          <w:i/>
                          <w:iCs/>
                          <w:noProof/>
                          <w:sz w:val="20"/>
                          <w:szCs w:val="20"/>
                        </w:rPr>
                      </m:ctrlPr>
                    </m:fPr>
                    <m:num>
                      <m:sSub>
                        <m:sSubPr>
                          <m:ctrlPr>
                            <w:rPr>
                              <w:rFonts w:ascii="Cambria Math" w:eastAsia="Calibri" w:hAnsi="Cambria Math" w:cstheme="minorHAnsi"/>
                              <w:i/>
                              <w:noProof/>
                              <w:sz w:val="20"/>
                              <w:szCs w:val="20"/>
                            </w:rPr>
                          </m:ctrlPr>
                        </m:sSubPr>
                        <m:e>
                          <m:r>
                            <w:rPr>
                              <w:rFonts w:ascii="Cambria Math" w:eastAsia="Calibri" w:hAnsi="Cambria Math" w:cstheme="minorHAnsi"/>
                              <w:noProof/>
                              <w:sz w:val="20"/>
                              <w:szCs w:val="20"/>
                            </w:rPr>
                            <m:t xml:space="preserve">investee company's </m:t>
                          </m:r>
                          <m:r>
                            <w:rPr>
                              <w:rFonts w:ascii="Cambria Math" w:hAnsi="Cambria Math" w:cstheme="minorHAnsi"/>
                              <w:noProof/>
                              <w:sz w:val="20"/>
                              <w:szCs w:val="20"/>
                            </w:rPr>
                            <m:t>Scope 1, 2 and 3 GHG emissions</m:t>
                          </m:r>
                        </m:e>
                        <m:sub>
                          <m:r>
                            <w:rPr>
                              <w:rFonts w:ascii="Cambria Math" w:eastAsia="Calibri" w:hAnsi="Cambria Math" w:cstheme="minorHAnsi"/>
                              <w:noProof/>
                              <w:sz w:val="20"/>
                              <w:szCs w:val="20"/>
                            </w:rPr>
                            <m:t>i</m:t>
                          </m:r>
                        </m:sub>
                      </m:sSub>
                    </m:num>
                    <m:den>
                      <m:sSub>
                        <m:sSubPr>
                          <m:ctrlPr>
                            <w:rPr>
                              <w:rFonts w:ascii="Cambria Math" w:hAnsi="Cambria Math" w:cstheme="minorHAnsi"/>
                              <w:i/>
                              <w:iCs/>
                              <w:noProof/>
                              <w:sz w:val="20"/>
                              <w:szCs w:val="20"/>
                            </w:rPr>
                          </m:ctrlPr>
                        </m:sSubPr>
                        <m:e>
                          <m:r>
                            <w:rPr>
                              <w:rFonts w:ascii="Cambria Math" w:hAnsi="Cambria Math" w:cstheme="minorHAnsi"/>
                              <w:noProof/>
                              <w:sz w:val="20"/>
                              <w:szCs w:val="20"/>
                            </w:rPr>
                            <m:t>investee compan</m:t>
                          </m:r>
                          <m:sSup>
                            <m:sSupPr>
                              <m:ctrlPr>
                                <w:rPr>
                                  <w:rFonts w:ascii="Cambria Math" w:hAnsi="Cambria Math" w:cstheme="minorHAnsi"/>
                                  <w:i/>
                                  <w:iCs/>
                                  <w:noProof/>
                                  <w:sz w:val="20"/>
                                  <w:szCs w:val="20"/>
                                </w:rPr>
                              </m:ctrlPr>
                            </m:sSupPr>
                            <m:e>
                              <m:r>
                                <w:rPr>
                                  <w:rFonts w:ascii="Cambria Math" w:hAnsi="Cambria Math" w:cstheme="minorHAnsi"/>
                                  <w:noProof/>
                                  <w:sz w:val="20"/>
                                  <w:szCs w:val="20"/>
                                </w:rPr>
                                <m:t>y</m:t>
                              </m:r>
                            </m:e>
                            <m:sup>
                              <m:r>
                                <w:rPr>
                                  <w:rFonts w:ascii="Cambria Math" w:hAnsi="Cambria Math" w:cstheme="minorHAnsi"/>
                                  <w:noProof/>
                                  <w:sz w:val="20"/>
                                  <w:szCs w:val="20"/>
                                </w:rPr>
                                <m:t>'</m:t>
                              </m:r>
                            </m:sup>
                          </m:sSup>
                          <m:r>
                            <w:rPr>
                              <w:rFonts w:ascii="Cambria Math" w:hAnsi="Cambria Math" w:cstheme="minorHAnsi"/>
                              <w:noProof/>
                              <w:sz w:val="20"/>
                              <w:szCs w:val="20"/>
                            </w:rPr>
                            <m:t>s €M revenue</m:t>
                          </m:r>
                        </m:e>
                        <m:sub>
                          <m:r>
                            <w:rPr>
                              <w:rFonts w:ascii="Cambria Math" w:hAnsi="Cambria Math" w:cstheme="minorHAnsi"/>
                              <w:noProof/>
                              <w:sz w:val="20"/>
                              <w:szCs w:val="20"/>
                            </w:rPr>
                            <m:t>i</m:t>
                          </m:r>
                        </m:sub>
                      </m:sSub>
                    </m:den>
                  </m:f>
                  <m:ctrlPr>
                    <w:rPr>
                      <w:rFonts w:ascii="Cambria Math" w:hAnsi="Cambria Math" w:cstheme="minorHAnsi"/>
                      <w:noProof/>
                      <w:sz w:val="20"/>
                      <w:szCs w:val="20"/>
                    </w:rPr>
                  </m:ctrlPr>
                </m:e>
              </m:d>
            </m:e>
          </m:nary>
        </m:oMath>
      </m:oMathPara>
    </w:p>
    <w:p w14:paraId="671CA72B" w14:textId="0A709AB6" w:rsidR="004113D8" w:rsidRPr="008861A7" w:rsidRDefault="004E0528" w:rsidP="004E0528">
      <w:pPr>
        <w:pStyle w:val="Point0"/>
        <w:rPr>
          <w:noProof/>
        </w:rPr>
      </w:pPr>
      <w:r w:rsidRPr="004E0528">
        <w:t>(4)</w:t>
      </w:r>
      <w:r w:rsidRPr="004E0528">
        <w:tab/>
      </w:r>
      <w:r w:rsidR="004113D8" w:rsidRPr="008861A7">
        <w:rPr>
          <w:noProof/>
        </w:rPr>
        <w:t>‘GHG intensity of sovereigns’ shall be calculated in accordance with the following formula:</w:t>
      </w:r>
    </w:p>
    <w:p w14:paraId="514617CD" w14:textId="77777777" w:rsidR="004113D8" w:rsidRPr="008861A7" w:rsidRDefault="001548DE" w:rsidP="004113D8">
      <w:pPr>
        <w:ind w:left="567" w:hanging="567"/>
        <w:rPr>
          <w:noProof/>
        </w:rPr>
      </w:pPr>
      <m:oMathPara>
        <m:oMath>
          <m:nary>
            <m:naryPr>
              <m:chr m:val="∑"/>
              <m:limLoc m:val="undOvr"/>
              <m:ctrlPr>
                <w:rPr>
                  <w:rFonts w:ascii="Cambria Math" w:eastAsia="Calibri" w:hAnsi="Cambria Math" w:cs="Calibri"/>
                  <w:iCs/>
                  <w:noProof/>
                  <w:sz w:val="22"/>
                </w:rPr>
              </m:ctrlPr>
            </m:naryPr>
            <m:sub>
              <m:r>
                <w:rPr>
                  <w:rFonts w:ascii="Cambria Math" w:hAnsi="Cambria Math"/>
                  <w:noProof/>
                  <w:lang w:eastAsia="en-GB"/>
                </w:rPr>
                <m:t>n</m:t>
              </m:r>
            </m:sub>
            <m:sup>
              <m:r>
                <w:rPr>
                  <w:rFonts w:ascii="Cambria Math" w:hAnsi="Cambria Math"/>
                  <w:noProof/>
                  <w:lang w:eastAsia="en-GB"/>
                </w:rPr>
                <m:t>i</m:t>
              </m:r>
            </m:sup>
            <m:e>
              <m:d>
                <m:dPr>
                  <m:ctrlPr>
                    <w:rPr>
                      <w:rFonts w:ascii="Cambria Math" w:eastAsia="Calibri" w:hAnsi="Cambria Math" w:cs="Calibri"/>
                      <w:iCs/>
                      <w:noProof/>
                      <w:sz w:val="22"/>
                    </w:rPr>
                  </m:ctrlPr>
                </m:dPr>
                <m:e>
                  <m:f>
                    <m:fPr>
                      <m:ctrlPr>
                        <w:rPr>
                          <w:rFonts w:ascii="Cambria Math" w:eastAsia="Calibri" w:hAnsi="Cambria Math" w:cs="Calibri"/>
                          <w:iCs/>
                          <w:noProof/>
                          <w:sz w:val="22"/>
                        </w:rPr>
                      </m:ctrlPr>
                    </m:fPr>
                    <m:num>
                      <m:sSub>
                        <m:sSubPr>
                          <m:ctrlPr>
                            <w:rPr>
                              <w:rFonts w:ascii="Cambria Math" w:eastAsia="Calibri" w:hAnsi="Cambria Math" w:cs="Calibri"/>
                              <w:iCs/>
                              <w:noProof/>
                              <w:sz w:val="22"/>
                            </w:rPr>
                          </m:ctrlPr>
                        </m:sSubPr>
                        <m:e>
                          <m:r>
                            <w:rPr>
                              <w:rFonts w:ascii="Cambria Math" w:hAnsi="Cambria Math"/>
                              <w:noProof/>
                              <w:lang w:eastAsia="en-GB"/>
                            </w:rPr>
                            <m:t>current</m:t>
                          </m:r>
                          <m:r>
                            <m:rPr>
                              <m:sty m:val="p"/>
                            </m:rPr>
                            <w:rPr>
                              <w:rFonts w:ascii="Cambria Math" w:hAnsi="Cambria Math"/>
                              <w:noProof/>
                              <w:lang w:eastAsia="en-GB"/>
                            </w:rPr>
                            <m:t xml:space="preserve"> </m:t>
                          </m:r>
                          <m:r>
                            <w:rPr>
                              <w:rFonts w:ascii="Cambria Math" w:hAnsi="Cambria Math"/>
                              <w:noProof/>
                              <w:lang w:eastAsia="en-GB"/>
                            </w:rPr>
                            <m:t>value</m:t>
                          </m:r>
                          <m:r>
                            <m:rPr>
                              <m:sty m:val="p"/>
                            </m:rPr>
                            <w:rPr>
                              <w:rFonts w:ascii="Cambria Math" w:hAnsi="Cambria Math"/>
                              <w:noProof/>
                              <w:lang w:eastAsia="en-GB"/>
                            </w:rPr>
                            <m:t xml:space="preserve"> </m:t>
                          </m:r>
                          <m:r>
                            <w:rPr>
                              <w:rFonts w:ascii="Cambria Math" w:hAnsi="Cambria Math"/>
                              <w:noProof/>
                              <w:lang w:eastAsia="en-GB"/>
                            </w:rPr>
                            <m:t>of</m:t>
                          </m:r>
                          <m:r>
                            <m:rPr>
                              <m:sty m:val="p"/>
                            </m:rPr>
                            <w:rPr>
                              <w:rFonts w:ascii="Cambria Math" w:hAnsi="Cambria Math"/>
                              <w:noProof/>
                              <w:lang w:eastAsia="en-GB"/>
                            </w:rPr>
                            <m:t xml:space="preserve"> </m:t>
                          </m:r>
                          <m:r>
                            <w:rPr>
                              <w:rFonts w:ascii="Cambria Math" w:hAnsi="Cambria Math"/>
                              <w:noProof/>
                              <w:lang w:eastAsia="en-GB"/>
                            </w:rPr>
                            <m:t>investment</m:t>
                          </m:r>
                        </m:e>
                        <m:sub>
                          <m:r>
                            <w:rPr>
                              <w:rFonts w:ascii="Cambria Math" w:hAnsi="Cambria Math"/>
                              <w:noProof/>
                              <w:lang w:eastAsia="en-GB"/>
                            </w:rPr>
                            <m:t>i</m:t>
                          </m:r>
                        </m:sub>
                      </m:sSub>
                    </m:num>
                    <m:den>
                      <m:r>
                        <w:rPr>
                          <w:rFonts w:ascii="Cambria Math" w:hAnsi="Cambria Math"/>
                          <w:noProof/>
                          <w:lang w:eastAsia="en-GB"/>
                        </w:rPr>
                        <m:t>current</m:t>
                      </m:r>
                      <m:r>
                        <m:rPr>
                          <m:sty m:val="p"/>
                        </m:rPr>
                        <w:rPr>
                          <w:rFonts w:ascii="Cambria Math" w:hAnsi="Cambria Math"/>
                          <w:noProof/>
                          <w:lang w:eastAsia="en-GB"/>
                        </w:rPr>
                        <m:t xml:space="preserve"> </m:t>
                      </m:r>
                      <m:r>
                        <w:rPr>
                          <w:rFonts w:ascii="Cambria Math" w:hAnsi="Cambria Math"/>
                          <w:noProof/>
                          <w:lang w:eastAsia="en-GB"/>
                        </w:rPr>
                        <m:t>value</m:t>
                      </m:r>
                      <m:r>
                        <m:rPr>
                          <m:sty m:val="p"/>
                        </m:rPr>
                        <w:rPr>
                          <w:rFonts w:ascii="Cambria Math" w:hAnsi="Cambria Math"/>
                          <w:noProof/>
                          <w:lang w:eastAsia="en-GB"/>
                        </w:rPr>
                        <m:t xml:space="preserve"> </m:t>
                      </m:r>
                      <m:r>
                        <w:rPr>
                          <w:rFonts w:ascii="Cambria Math" w:hAnsi="Cambria Math"/>
                          <w:noProof/>
                          <w:lang w:eastAsia="en-GB"/>
                        </w:rPr>
                        <m:t>of</m:t>
                      </m:r>
                      <m:r>
                        <m:rPr>
                          <m:sty m:val="p"/>
                        </m:rPr>
                        <w:rPr>
                          <w:rFonts w:ascii="Cambria Math" w:hAnsi="Cambria Math"/>
                          <w:noProof/>
                          <w:lang w:eastAsia="en-GB"/>
                        </w:rPr>
                        <m:t xml:space="preserve"> </m:t>
                      </m:r>
                      <m:r>
                        <w:rPr>
                          <w:rFonts w:ascii="Cambria Math" w:hAnsi="Cambria Math"/>
                          <w:noProof/>
                          <w:lang w:eastAsia="en-GB"/>
                        </w:rPr>
                        <m:t>all</m:t>
                      </m:r>
                      <m:r>
                        <m:rPr>
                          <m:sty m:val="p"/>
                        </m:rPr>
                        <w:rPr>
                          <w:rFonts w:ascii="Cambria Math" w:hAnsi="Cambria Math"/>
                          <w:noProof/>
                          <w:lang w:eastAsia="en-GB"/>
                        </w:rPr>
                        <m:t xml:space="preserve"> </m:t>
                      </m:r>
                      <m:r>
                        <w:rPr>
                          <w:rFonts w:ascii="Cambria Math" w:hAnsi="Cambria Math"/>
                          <w:noProof/>
                          <w:lang w:eastAsia="en-GB"/>
                        </w:rPr>
                        <m:t>investments</m:t>
                      </m:r>
                      <m:r>
                        <m:rPr>
                          <m:sty m:val="p"/>
                        </m:rPr>
                        <w:rPr>
                          <w:rFonts w:ascii="Cambria Math" w:hAnsi="Cambria Math"/>
                          <w:noProof/>
                          <w:lang w:eastAsia="en-GB"/>
                        </w:rPr>
                        <m:t xml:space="preserve"> (€</m:t>
                      </m:r>
                      <m:r>
                        <w:rPr>
                          <w:rFonts w:ascii="Cambria Math" w:hAnsi="Cambria Math"/>
                          <w:noProof/>
                          <w:lang w:eastAsia="en-GB"/>
                        </w:rPr>
                        <m:t>M</m:t>
                      </m:r>
                      <m:r>
                        <m:rPr>
                          <m:sty m:val="p"/>
                        </m:rPr>
                        <w:rPr>
                          <w:rFonts w:ascii="Cambria Math" w:hAnsi="Cambria Math"/>
                          <w:noProof/>
                          <w:lang w:eastAsia="en-GB"/>
                        </w:rPr>
                        <m:t>)</m:t>
                      </m:r>
                    </m:den>
                  </m:f>
                  <m:r>
                    <m:rPr>
                      <m:sty m:val="p"/>
                    </m:rPr>
                    <w:rPr>
                      <w:rFonts w:ascii="Cambria Math" w:hAnsi="Cambria Math"/>
                      <w:noProof/>
                      <w:lang w:eastAsia="en-GB"/>
                    </w:rPr>
                    <m:t>×</m:t>
                  </m:r>
                  <m:f>
                    <m:fPr>
                      <m:ctrlPr>
                        <w:rPr>
                          <w:rFonts w:ascii="Cambria Math" w:eastAsia="Calibri" w:hAnsi="Cambria Math" w:cs="Calibri"/>
                          <w:iCs/>
                          <w:noProof/>
                          <w:sz w:val="22"/>
                        </w:rPr>
                      </m:ctrlPr>
                    </m:fPr>
                    <m:num>
                      <m:r>
                        <w:rPr>
                          <w:rFonts w:ascii="Cambria Math" w:hAnsi="Cambria Math"/>
                          <w:noProof/>
                          <w:lang w:eastAsia="en-GB"/>
                        </w:rPr>
                        <m:t>The</m:t>
                      </m:r>
                      <m:r>
                        <m:rPr>
                          <m:sty m:val="p"/>
                        </m:rPr>
                        <w:rPr>
                          <w:rFonts w:ascii="Cambria Math" w:hAnsi="Cambria Math"/>
                          <w:noProof/>
                          <w:lang w:eastAsia="en-GB"/>
                        </w:rPr>
                        <m:t xml:space="preserve"> </m:t>
                      </m:r>
                      <m:r>
                        <w:rPr>
                          <w:rFonts w:ascii="Cambria Math" w:hAnsi="Cambria Math"/>
                          <w:noProof/>
                          <w:lang w:eastAsia="en-GB"/>
                        </w:rPr>
                        <m:t>countr</m:t>
                      </m:r>
                      <m:sSup>
                        <m:sSupPr>
                          <m:ctrlPr>
                            <w:rPr>
                              <w:rFonts w:ascii="Cambria Math" w:eastAsia="Calibri" w:hAnsi="Cambria Math" w:cs="Calibri"/>
                              <w:iCs/>
                              <w:noProof/>
                              <w:sz w:val="22"/>
                            </w:rPr>
                          </m:ctrlPr>
                        </m:sSupPr>
                        <m:e>
                          <m:r>
                            <w:rPr>
                              <w:rFonts w:ascii="Cambria Math" w:hAnsi="Cambria Math"/>
                              <w:noProof/>
                              <w:lang w:eastAsia="en-GB"/>
                            </w:rPr>
                            <m:t>y</m:t>
                          </m:r>
                        </m:e>
                        <m:sup>
                          <m:r>
                            <m:rPr>
                              <m:sty m:val="p"/>
                            </m:rPr>
                            <w:rPr>
                              <w:rFonts w:ascii="Cambria Math" w:hAnsi="Cambria Math"/>
                              <w:noProof/>
                              <w:lang w:eastAsia="en-GB"/>
                            </w:rPr>
                            <m:t>'</m:t>
                          </m:r>
                        </m:sup>
                      </m:sSup>
                      <m:r>
                        <w:rPr>
                          <w:rFonts w:ascii="Cambria Math" w:hAnsi="Cambria Math"/>
                          <w:noProof/>
                          <w:lang w:eastAsia="en-GB"/>
                        </w:rPr>
                        <m:t>s</m:t>
                      </m:r>
                      <m:r>
                        <m:rPr>
                          <m:sty m:val="p"/>
                        </m:rPr>
                        <w:rPr>
                          <w:rFonts w:ascii="Cambria Math" w:hAnsi="Cambria Math"/>
                          <w:noProof/>
                          <w:lang w:eastAsia="en-GB"/>
                        </w:rPr>
                        <m:t xml:space="preserve"> </m:t>
                      </m:r>
                      <m:r>
                        <w:rPr>
                          <w:rFonts w:ascii="Cambria Math" w:hAnsi="Cambria Math"/>
                          <w:noProof/>
                          <w:lang w:eastAsia="en-GB"/>
                        </w:rPr>
                        <m:t>Scope</m:t>
                      </m:r>
                      <m:r>
                        <m:rPr>
                          <m:sty m:val="p"/>
                        </m:rPr>
                        <w:rPr>
                          <w:rFonts w:ascii="Cambria Math" w:hAnsi="Cambria Math"/>
                          <w:noProof/>
                          <w:lang w:eastAsia="en-GB"/>
                        </w:rPr>
                        <m:t xml:space="preserve"> 1, 2 </m:t>
                      </m:r>
                      <m:r>
                        <w:rPr>
                          <w:rFonts w:ascii="Cambria Math" w:hAnsi="Cambria Math"/>
                          <w:noProof/>
                          <w:lang w:eastAsia="en-GB"/>
                        </w:rPr>
                        <m:t>and</m:t>
                      </m:r>
                      <m:r>
                        <m:rPr>
                          <m:sty m:val="p"/>
                        </m:rPr>
                        <w:rPr>
                          <w:rFonts w:ascii="Cambria Math" w:hAnsi="Cambria Math"/>
                          <w:noProof/>
                          <w:lang w:eastAsia="en-GB"/>
                        </w:rPr>
                        <m:t xml:space="preserve"> 3 </m:t>
                      </m:r>
                      <m:r>
                        <w:rPr>
                          <w:rFonts w:ascii="Cambria Math" w:hAnsi="Cambria Math"/>
                          <w:noProof/>
                          <w:lang w:eastAsia="en-GB"/>
                        </w:rPr>
                        <m:t>GHG</m:t>
                      </m:r>
                      <m:r>
                        <m:rPr>
                          <m:sty m:val="p"/>
                        </m:rPr>
                        <w:rPr>
                          <w:rFonts w:ascii="Cambria Math" w:hAnsi="Cambria Math"/>
                          <w:noProof/>
                          <w:lang w:eastAsia="en-GB"/>
                        </w:rPr>
                        <m:t xml:space="preserve"> </m:t>
                      </m:r>
                      <m:r>
                        <w:rPr>
                          <w:rFonts w:ascii="Cambria Math" w:hAnsi="Cambria Math"/>
                          <w:noProof/>
                          <w:lang w:eastAsia="en-GB"/>
                        </w:rPr>
                        <m:t>emission</m:t>
                      </m:r>
                      <m:sSub>
                        <m:sSubPr>
                          <m:ctrlPr>
                            <w:rPr>
                              <w:rFonts w:ascii="Cambria Math" w:eastAsia="Calibri" w:hAnsi="Cambria Math" w:cs="Calibri"/>
                              <w:iCs/>
                              <w:noProof/>
                              <w:sz w:val="22"/>
                            </w:rPr>
                          </m:ctrlPr>
                        </m:sSubPr>
                        <m:e>
                          <m:r>
                            <w:rPr>
                              <w:rFonts w:ascii="Cambria Math" w:hAnsi="Cambria Math"/>
                              <w:noProof/>
                              <w:lang w:eastAsia="en-GB"/>
                            </w:rPr>
                            <m:t>s</m:t>
                          </m:r>
                        </m:e>
                        <m:sub>
                          <m:r>
                            <w:rPr>
                              <w:rFonts w:ascii="Cambria Math" w:hAnsi="Cambria Math"/>
                              <w:noProof/>
                              <w:lang w:eastAsia="en-GB"/>
                            </w:rPr>
                            <m:t>i</m:t>
                          </m:r>
                        </m:sub>
                      </m:sSub>
                      <m:r>
                        <m:rPr>
                          <m:sty m:val="p"/>
                        </m:rPr>
                        <w:rPr>
                          <w:rFonts w:ascii="Cambria Math" w:hAnsi="Cambria Math"/>
                          <w:noProof/>
                          <w:lang w:eastAsia="en-GB"/>
                        </w:rPr>
                        <m:t xml:space="preserve"> </m:t>
                      </m:r>
                    </m:num>
                    <m:den>
                      <m:sSub>
                        <m:sSubPr>
                          <m:ctrlPr>
                            <w:rPr>
                              <w:rFonts w:ascii="Cambria Math" w:eastAsia="Calibri" w:hAnsi="Cambria Math" w:cs="Calibri"/>
                              <w:iCs/>
                              <w:noProof/>
                              <w:sz w:val="22"/>
                            </w:rPr>
                          </m:ctrlPr>
                        </m:sSubPr>
                        <m:e>
                          <m:r>
                            <w:rPr>
                              <w:rFonts w:ascii="Cambria Math" w:hAnsi="Cambria Math"/>
                              <w:noProof/>
                              <w:lang w:eastAsia="en-GB"/>
                            </w:rPr>
                            <m:t>Gross</m:t>
                          </m:r>
                          <m:r>
                            <m:rPr>
                              <m:sty m:val="p"/>
                            </m:rPr>
                            <w:rPr>
                              <w:rFonts w:ascii="Cambria Math" w:hAnsi="Cambria Math"/>
                              <w:noProof/>
                              <w:lang w:eastAsia="en-GB"/>
                            </w:rPr>
                            <m:t xml:space="preserve"> </m:t>
                          </m:r>
                          <m:r>
                            <w:rPr>
                              <w:rFonts w:ascii="Cambria Math" w:hAnsi="Cambria Math"/>
                              <w:noProof/>
                              <w:lang w:eastAsia="en-GB"/>
                            </w:rPr>
                            <m:t>Domestic</m:t>
                          </m:r>
                          <m:r>
                            <m:rPr>
                              <m:sty m:val="p"/>
                            </m:rPr>
                            <w:rPr>
                              <w:rFonts w:ascii="Cambria Math" w:hAnsi="Cambria Math"/>
                              <w:noProof/>
                              <w:lang w:eastAsia="en-GB"/>
                            </w:rPr>
                            <m:t xml:space="preserve"> </m:t>
                          </m:r>
                          <m:r>
                            <w:rPr>
                              <w:rFonts w:ascii="Cambria Math" w:hAnsi="Cambria Math"/>
                              <w:noProof/>
                              <w:lang w:eastAsia="en-GB"/>
                            </w:rPr>
                            <m:t>Product</m:t>
                          </m:r>
                        </m:e>
                        <m:sub>
                          <m:r>
                            <w:rPr>
                              <w:rFonts w:ascii="Cambria Math" w:hAnsi="Cambria Math"/>
                              <w:noProof/>
                              <w:lang w:eastAsia="en-GB"/>
                            </w:rPr>
                            <m:t>i</m:t>
                          </m:r>
                        </m:sub>
                      </m:sSub>
                      <m:r>
                        <m:rPr>
                          <m:sty m:val="p"/>
                        </m:rPr>
                        <w:rPr>
                          <w:rFonts w:ascii="Cambria Math" w:hAnsi="Cambria Math"/>
                          <w:noProof/>
                          <w:sz w:val="22"/>
                          <w:lang w:eastAsia="en-GB"/>
                        </w:rPr>
                        <m:t>(</m:t>
                      </m:r>
                      <m:r>
                        <m:rPr>
                          <m:sty m:val="p"/>
                        </m:rPr>
                        <w:rPr>
                          <w:rFonts w:ascii="Cambria Math" w:hAnsi="Cambria Math"/>
                          <w:noProof/>
                          <w:lang w:eastAsia="en-GB"/>
                        </w:rPr>
                        <m:t>€</m:t>
                      </m:r>
                      <m:r>
                        <w:rPr>
                          <w:rFonts w:ascii="Cambria Math" w:hAnsi="Cambria Math"/>
                          <w:noProof/>
                          <w:lang w:eastAsia="en-GB"/>
                        </w:rPr>
                        <m:t>M</m:t>
                      </m:r>
                      <m:r>
                        <m:rPr>
                          <m:sty m:val="p"/>
                        </m:rPr>
                        <w:rPr>
                          <w:rFonts w:ascii="Cambria Math" w:hAnsi="Cambria Math"/>
                          <w:noProof/>
                          <w:lang w:eastAsia="en-GB"/>
                        </w:rPr>
                        <m:t>)</m:t>
                      </m:r>
                    </m:den>
                  </m:f>
                  <m:ctrlPr>
                    <w:rPr>
                      <w:rFonts w:ascii="Cambria Math" w:eastAsia="Calibri" w:hAnsi="Cambria Math" w:cs="Calibri"/>
                      <w:noProof/>
                      <w:sz w:val="22"/>
                    </w:rPr>
                  </m:ctrlPr>
                </m:e>
              </m:d>
            </m:e>
          </m:nary>
        </m:oMath>
      </m:oMathPara>
    </w:p>
    <w:p w14:paraId="090C04FE" w14:textId="21490C7B" w:rsidR="004113D8" w:rsidRPr="008861A7" w:rsidRDefault="004E0528" w:rsidP="004E0528">
      <w:pPr>
        <w:pStyle w:val="Point0"/>
        <w:rPr>
          <w:noProof/>
        </w:rPr>
      </w:pPr>
      <w:r w:rsidRPr="004E0528">
        <w:t>(5)</w:t>
      </w:r>
      <w:r w:rsidRPr="004E0528">
        <w:tab/>
      </w:r>
      <w:r w:rsidR="004113D8" w:rsidRPr="008861A7">
        <w:rPr>
          <w:noProof/>
        </w:rPr>
        <w:t xml:space="preserve">‘inefficient real estate assets’ shall be calculated in accordance with the following formula: </w:t>
      </w:r>
    </w:p>
    <w:p w14:paraId="2D283EDE" w14:textId="77777777" w:rsidR="004113D8" w:rsidRPr="008861A7" w:rsidRDefault="001548DE" w:rsidP="004113D8">
      <w:pPr>
        <w:spacing w:before="0" w:after="240"/>
        <w:ind w:left="567" w:hanging="567"/>
        <w:contextualSpacing/>
        <w:jc w:val="left"/>
        <w:rPr>
          <w:rFonts w:eastAsia="Calibri"/>
          <w:bCs/>
          <w:i/>
          <w:noProof/>
          <w:sz w:val="22"/>
        </w:rPr>
      </w:pPr>
      <m:oMathPara>
        <m:oMath>
          <m:f>
            <m:fPr>
              <m:ctrlPr>
                <w:rPr>
                  <w:rFonts w:ascii="Cambria Math" w:eastAsia="Calibri" w:hAnsi="Cambria Math"/>
                  <w:bCs/>
                  <w:i/>
                  <w:noProof/>
                  <w:sz w:val="22"/>
                </w:rPr>
              </m:ctrlPr>
            </m:fPr>
            <m:num>
              <m:eqArr>
                <m:eqArrPr>
                  <m:ctrlPr>
                    <w:rPr>
                      <w:rFonts w:ascii="Cambria Math" w:eastAsia="Calibri" w:hAnsi="Cambria Math"/>
                      <w:i/>
                      <w:noProof/>
                      <w:sz w:val="22"/>
                      <w:lang w:eastAsia="en-GB"/>
                    </w:rPr>
                  </m:ctrlPr>
                </m:eqArrPr>
                <m:e>
                  <m:r>
                    <w:rPr>
                      <w:rFonts w:ascii="Cambria Math" w:eastAsia="Calibri" w:hAnsi="Cambria Math"/>
                      <w:noProof/>
                      <w:sz w:val="22"/>
                      <w:lang w:eastAsia="en-GB"/>
                    </w:rPr>
                    <m:t>((Value of real estate assets built before 31/12/</m:t>
                  </m:r>
                  <m:r>
                    <m:rPr>
                      <m:nor/>
                    </m:rPr>
                    <w:rPr>
                      <w:rFonts w:eastAsia="Calibri"/>
                      <w:bCs/>
                      <w:i/>
                      <w:noProof/>
                      <w:sz w:val="22"/>
                      <w:lang w:eastAsia="en-GB"/>
                    </w:rPr>
                    <m:t xml:space="preserve">2020 </m:t>
                  </m:r>
                  <m:r>
                    <w:rPr>
                      <w:rFonts w:ascii="Cambria Math" w:eastAsia="Calibri" w:hAnsi="Cambria Math"/>
                      <w:noProof/>
                      <w:sz w:val="22"/>
                      <w:lang w:eastAsia="en-GB"/>
                    </w:rPr>
                    <m:t xml:space="preserve">with </m:t>
                  </m:r>
                  <m:r>
                    <m:rPr>
                      <m:nor/>
                    </m:rPr>
                    <w:rPr>
                      <w:rFonts w:eastAsia="Calibri"/>
                      <w:bCs/>
                      <w:i/>
                      <w:noProof/>
                      <w:sz w:val="22"/>
                      <w:lang w:eastAsia="en-GB"/>
                    </w:rPr>
                    <m:t>EPC of C or below)</m:t>
                  </m:r>
                  <m:r>
                    <m:rPr>
                      <m:nor/>
                    </m:rPr>
                    <w:rPr>
                      <w:rFonts w:eastAsia="Calibri"/>
                      <w:bCs/>
                      <w:iCs/>
                      <w:noProof/>
                      <w:sz w:val="22"/>
                      <w:lang w:eastAsia="en-GB"/>
                    </w:rPr>
                    <m:t xml:space="preserve"> +</m:t>
                  </m:r>
                  <m:ctrlPr>
                    <w:rPr>
                      <w:rFonts w:ascii="Cambria Math" w:eastAsia="Calibri" w:hAnsi="Cambria Math"/>
                      <w:bCs/>
                      <w:iCs/>
                      <w:noProof/>
                      <w:sz w:val="22"/>
                      <w:lang w:eastAsia="en-GB"/>
                    </w:rPr>
                  </m:ctrlPr>
                </m:e>
                <m:e>
                  <m:r>
                    <m:rPr>
                      <m:nor/>
                    </m:rPr>
                    <w:rPr>
                      <w:rFonts w:eastAsia="Calibri"/>
                      <w:bCs/>
                      <w:i/>
                      <w:noProof/>
                      <w:sz w:val="22"/>
                      <w:lang w:eastAsia="en-GB"/>
                    </w:rPr>
                    <m:t>(Value of real estate assets built after 31/12/2020 with PED below NZEB in Directive 2010/31/EU))</m:t>
                  </m:r>
                  <m:ctrlPr>
                    <w:rPr>
                      <w:rFonts w:ascii="Cambria Math" w:eastAsia="Calibri" w:hAnsi="Cambria Math"/>
                      <w:bCs/>
                      <w:i/>
                      <w:noProof/>
                      <w:sz w:val="22"/>
                      <w:lang w:eastAsia="en-GB"/>
                    </w:rPr>
                  </m:ctrlPr>
                </m:e>
              </m:eqArr>
            </m:num>
            <m:den>
              <m:eqArr>
                <m:eqArrPr>
                  <m:ctrlPr>
                    <w:rPr>
                      <w:rFonts w:ascii="Cambria Math" w:eastAsia="Calibri" w:hAnsi="Cambria Math"/>
                      <w:i/>
                      <w:noProof/>
                      <w:sz w:val="22"/>
                      <w:lang w:eastAsia="en-GB"/>
                    </w:rPr>
                  </m:ctrlPr>
                </m:eqArrPr>
                <m:e>
                  <m:r>
                    <w:rPr>
                      <w:rFonts w:ascii="Cambria Math" w:eastAsia="Calibri" w:hAnsi="Cambria Math"/>
                      <w:noProof/>
                      <w:sz w:val="22"/>
                      <w:lang w:eastAsia="en-GB"/>
                    </w:rPr>
                    <m:t>Value of real estate assets required to abide by EPC and NZEB rules</m:t>
                  </m:r>
                </m:e>
                <m:e/>
              </m:eqArr>
            </m:den>
          </m:f>
        </m:oMath>
      </m:oMathPara>
    </w:p>
    <w:p w14:paraId="3FF25E3D" w14:textId="77777777" w:rsidR="001D3001" w:rsidRPr="008861A7" w:rsidRDefault="001D3001" w:rsidP="004113D8">
      <w:pPr>
        <w:ind w:left="567" w:hanging="567"/>
        <w:rPr>
          <w:rFonts w:eastAsia="Calibri"/>
          <w:noProof/>
        </w:rPr>
      </w:pPr>
    </w:p>
    <w:p w14:paraId="5016159D" w14:textId="665983ED" w:rsidR="004113D8" w:rsidRPr="008861A7" w:rsidRDefault="00FE0154" w:rsidP="007D22B5">
      <w:pPr>
        <w:rPr>
          <w:noProof/>
          <w:szCs w:val="24"/>
        </w:rPr>
      </w:pPr>
      <w:r w:rsidRPr="008861A7">
        <w:rPr>
          <w:noProof/>
          <w:szCs w:val="24"/>
        </w:rPr>
        <w:t>For the purposes of the formulas</w:t>
      </w:r>
      <w:r w:rsidR="00E72E90" w:rsidRPr="008861A7">
        <w:rPr>
          <w:noProof/>
          <w:szCs w:val="24"/>
        </w:rPr>
        <w:t>,</w:t>
      </w:r>
      <w:r w:rsidRPr="008861A7">
        <w:rPr>
          <w:noProof/>
          <w:szCs w:val="24"/>
        </w:rPr>
        <w:t xml:space="preserve"> the following definitions shall apply:</w:t>
      </w:r>
    </w:p>
    <w:p w14:paraId="7A47FE80" w14:textId="17DD566B" w:rsidR="00FE0154" w:rsidRPr="00EF590D" w:rsidRDefault="004E0528" w:rsidP="004E0528">
      <w:pPr>
        <w:pStyle w:val="Point0"/>
        <w:rPr>
          <w:noProof/>
        </w:rPr>
      </w:pPr>
      <w:r w:rsidRPr="004E0528">
        <w:t>(1)</w:t>
      </w:r>
      <w:r w:rsidRPr="004E0528">
        <w:tab/>
      </w:r>
      <w:r w:rsidR="00FE0154" w:rsidRPr="00EF590D">
        <w:rPr>
          <w:noProof/>
        </w:rPr>
        <w:t>‘current value of investment’ means the value in EUR of the investment by the financial market participant in the investee company</w:t>
      </w:r>
      <w:r w:rsidR="00D37EBA" w:rsidRPr="00EF590D">
        <w:rPr>
          <w:noProof/>
        </w:rPr>
        <w:t>;</w:t>
      </w:r>
      <w:r w:rsidR="00FE0154" w:rsidRPr="00EF590D">
        <w:rPr>
          <w:noProof/>
        </w:rPr>
        <w:t xml:space="preserve"> </w:t>
      </w:r>
    </w:p>
    <w:p w14:paraId="36FB65DE" w14:textId="4BC67758" w:rsidR="00FE0154" w:rsidRPr="008861A7" w:rsidRDefault="004E0528" w:rsidP="004E0528">
      <w:pPr>
        <w:pStyle w:val="Point0"/>
        <w:rPr>
          <w:noProof/>
        </w:rPr>
      </w:pPr>
      <w:r w:rsidRPr="004E0528">
        <w:t>(2)</w:t>
      </w:r>
      <w:r w:rsidRPr="004E0528">
        <w:tab/>
      </w:r>
      <w:r w:rsidR="00FE0154" w:rsidRPr="008861A7">
        <w:rPr>
          <w:noProof/>
        </w:rPr>
        <w:t>‘enterprise value’ means the sum, at fiscal year-end, of the market capitalisation of ordinary shares, the market capitalisation of preferred shares, and the book value of total debt and non-controlling interests, without the deduction of cash or cash equivalents;</w:t>
      </w:r>
    </w:p>
    <w:p w14:paraId="657FC8BE" w14:textId="6058DA95" w:rsidR="00FE0154" w:rsidRPr="008861A7" w:rsidRDefault="004E0528" w:rsidP="004E0528">
      <w:pPr>
        <w:pStyle w:val="Point0"/>
        <w:rPr>
          <w:noProof/>
        </w:rPr>
      </w:pPr>
      <w:r w:rsidRPr="004E0528">
        <w:t>(3)</w:t>
      </w:r>
      <w:r w:rsidRPr="004E0528">
        <w:tab/>
      </w:r>
      <w:r w:rsidR="00FE0154" w:rsidRPr="008861A7">
        <w:rPr>
          <w:noProof/>
        </w:rPr>
        <w:t>‘current value of all investments’ means the value in EUR of all investments by the financial market participant;</w:t>
      </w:r>
    </w:p>
    <w:p w14:paraId="72450BB8" w14:textId="0357F4D9" w:rsidR="00FE0154" w:rsidRPr="008861A7" w:rsidRDefault="004E0528" w:rsidP="004E0528">
      <w:pPr>
        <w:pStyle w:val="Point0"/>
        <w:rPr>
          <w:noProof/>
        </w:rPr>
      </w:pPr>
      <w:r w:rsidRPr="004E0528">
        <w:t>(4)</w:t>
      </w:r>
      <w:r w:rsidRPr="004E0528">
        <w:tab/>
      </w:r>
      <w:r w:rsidR="00FE0154" w:rsidRPr="008861A7">
        <w:rPr>
          <w:noProof/>
        </w:rPr>
        <w:t>‘nearly zero-energy building (NZEB)’, ‘primary energy demand (PED)’ and ‘energy performance certificate (EPC)’ shall have the meanings given to them in paragraphs 2, 5 and 12 of Article 2 of Directive 2010/31/EU of the European Parliament and of the Council</w:t>
      </w:r>
      <w:r w:rsidR="00E72E90" w:rsidRPr="008861A7">
        <w:rPr>
          <w:rStyle w:val="FootnoteReference"/>
          <w:rFonts w:eastAsia="Calibri"/>
          <w:bCs/>
          <w:noProof/>
        </w:rPr>
        <w:footnoteReference w:id="16"/>
      </w:r>
      <w:r w:rsidR="00E72E90" w:rsidRPr="008861A7">
        <w:rPr>
          <w:noProof/>
        </w:rPr>
        <w:t>.</w:t>
      </w:r>
    </w:p>
    <w:p w14:paraId="5DDF84DB" w14:textId="77777777" w:rsidR="00FE0154" w:rsidRPr="008861A7" w:rsidRDefault="00FE0154" w:rsidP="00F95D41">
      <w:pPr>
        <w:rPr>
          <w:rFonts w:eastAsia="Calibri"/>
          <w:noProof/>
        </w:rPr>
      </w:pPr>
    </w:p>
    <w:p w14:paraId="62F8BEDE" w14:textId="77777777" w:rsidR="001D3001" w:rsidRPr="008861A7" w:rsidRDefault="001D3001" w:rsidP="001D3001">
      <w:pPr>
        <w:spacing w:after="0"/>
        <w:jc w:val="center"/>
        <w:rPr>
          <w:rFonts w:eastAsia="Calibri"/>
          <w:i/>
          <w:noProof/>
        </w:rPr>
      </w:pPr>
      <w:r w:rsidRPr="008861A7">
        <w:rPr>
          <w:rFonts w:eastAsia="Calibri"/>
          <w:i/>
          <w:noProof/>
        </w:rPr>
        <w:t>Table 1</w:t>
      </w:r>
    </w:p>
    <w:p w14:paraId="7BBF2768" w14:textId="5710EF54" w:rsidR="001D3001" w:rsidRPr="008861A7" w:rsidRDefault="00493AE0" w:rsidP="001D3001">
      <w:pPr>
        <w:spacing w:after="0"/>
        <w:jc w:val="center"/>
        <w:rPr>
          <w:rFonts w:eastAsia="Calibri"/>
          <w:b/>
          <w:noProof/>
        </w:rPr>
      </w:pPr>
      <w:r w:rsidRPr="008861A7">
        <w:rPr>
          <w:rFonts w:eastAsia="Calibri"/>
          <w:b/>
          <w:noProof/>
        </w:rPr>
        <w:t>Statement on p</w:t>
      </w:r>
      <w:r w:rsidR="001D3001" w:rsidRPr="008861A7">
        <w:rPr>
          <w:rFonts w:eastAsia="Calibri"/>
          <w:b/>
          <w:noProof/>
        </w:rPr>
        <w:t xml:space="preserve">rincipal adverse </w:t>
      </w:r>
      <w:r w:rsidRPr="008861A7">
        <w:rPr>
          <w:rFonts w:eastAsia="Calibri"/>
          <w:b/>
          <w:noProof/>
        </w:rPr>
        <w:t>impact</w:t>
      </w:r>
      <w:r w:rsidR="00010690" w:rsidRPr="008861A7">
        <w:rPr>
          <w:rFonts w:eastAsia="Calibri"/>
          <w:b/>
          <w:noProof/>
        </w:rPr>
        <w:t>s</w:t>
      </w:r>
      <w:r w:rsidRPr="008861A7">
        <w:rPr>
          <w:rFonts w:eastAsia="Calibri"/>
          <w:b/>
          <w:noProof/>
        </w:rPr>
        <w:t xml:space="preserve"> </w:t>
      </w:r>
      <w:r w:rsidR="00286D0C" w:rsidRPr="00286D0C">
        <w:rPr>
          <w:rFonts w:eastAsia="Calibri"/>
          <w:b/>
          <w:noProof/>
        </w:rPr>
        <w:t xml:space="preserve">of investment decisions </w:t>
      </w:r>
      <w:r w:rsidRPr="008861A7">
        <w:rPr>
          <w:rFonts w:eastAsia="Calibri"/>
          <w:b/>
          <w:noProof/>
        </w:rPr>
        <w:t xml:space="preserve">on </w:t>
      </w:r>
      <w:r w:rsidR="001D3001" w:rsidRPr="008861A7">
        <w:rPr>
          <w:rFonts w:eastAsia="Calibri"/>
          <w:b/>
          <w:noProof/>
        </w:rPr>
        <w:t xml:space="preserve">sustainability </w:t>
      </w:r>
      <w:r w:rsidRPr="008861A7">
        <w:rPr>
          <w:rFonts w:eastAsia="Calibri"/>
          <w:b/>
          <w:noProof/>
        </w:rPr>
        <w:t>factors</w:t>
      </w:r>
    </w:p>
    <w:p w14:paraId="6F57BC09" w14:textId="77777777" w:rsidR="001D3001" w:rsidRPr="008861A7" w:rsidRDefault="001D3001" w:rsidP="001D3001">
      <w:pPr>
        <w:spacing w:after="0"/>
        <w:jc w:val="center"/>
        <w:rPr>
          <w:rFonts w:eastAsia="Calibri"/>
          <w:i/>
          <w:noProof/>
        </w:rPr>
      </w:pPr>
    </w:p>
    <w:tbl>
      <w:tblPr>
        <w:tblStyle w:val="TableGrid2"/>
        <w:tblW w:w="0" w:type="auto"/>
        <w:tblLook w:val="04A0" w:firstRow="1" w:lastRow="0" w:firstColumn="1" w:lastColumn="0" w:noHBand="0" w:noVBand="1"/>
      </w:tblPr>
      <w:tblGrid>
        <w:gridCol w:w="14268"/>
      </w:tblGrid>
      <w:tr w:rsidR="001D3001" w:rsidRPr="008861A7" w14:paraId="0514B1E6" w14:textId="77777777" w:rsidTr="00477C34">
        <w:tc>
          <w:tcPr>
            <w:tcW w:w="14268" w:type="dxa"/>
            <w:tcBorders>
              <w:top w:val="single" w:sz="4" w:space="0" w:color="auto"/>
              <w:left w:val="single" w:sz="4" w:space="0" w:color="auto"/>
              <w:bottom w:val="single" w:sz="4" w:space="0" w:color="auto"/>
              <w:right w:val="single" w:sz="4" w:space="0" w:color="auto"/>
            </w:tcBorders>
          </w:tcPr>
          <w:p w14:paraId="13D59DD5" w14:textId="77777777" w:rsidR="001D3001" w:rsidRPr="008861A7" w:rsidRDefault="001D3001" w:rsidP="00477C34">
            <w:pPr>
              <w:spacing w:after="0"/>
              <w:rPr>
                <w:b/>
                <w:bCs/>
                <w:iCs/>
                <w:noProof/>
              </w:rPr>
            </w:pPr>
            <w:bookmarkStart w:id="3" w:name="_Hlk61346817"/>
            <w:r w:rsidRPr="008861A7">
              <w:rPr>
                <w:b/>
                <w:bCs/>
                <w:iCs/>
                <w:noProof/>
              </w:rPr>
              <w:t>Financial market participant</w:t>
            </w:r>
            <w:r w:rsidRPr="008861A7">
              <w:rPr>
                <w:iCs/>
                <w:noProof/>
              </w:rPr>
              <w:t xml:space="preserve"> [</w:t>
            </w:r>
            <w:r w:rsidRPr="008861A7">
              <w:rPr>
                <w:i/>
                <w:noProof/>
              </w:rPr>
              <w:t>Name and, where available, LEI</w:t>
            </w:r>
            <w:r w:rsidRPr="008861A7">
              <w:rPr>
                <w:iCs/>
                <w:noProof/>
              </w:rPr>
              <w:t>]</w:t>
            </w:r>
          </w:p>
        </w:tc>
      </w:tr>
      <w:tr w:rsidR="001D3001" w:rsidRPr="008861A7" w14:paraId="6F230B10" w14:textId="77777777" w:rsidTr="00477C34">
        <w:tc>
          <w:tcPr>
            <w:tcW w:w="14268" w:type="dxa"/>
            <w:tcBorders>
              <w:top w:val="single" w:sz="4" w:space="0" w:color="auto"/>
              <w:left w:val="single" w:sz="4" w:space="0" w:color="auto"/>
              <w:bottom w:val="single" w:sz="4" w:space="0" w:color="auto"/>
              <w:right w:val="single" w:sz="4" w:space="0" w:color="auto"/>
            </w:tcBorders>
          </w:tcPr>
          <w:p w14:paraId="05F97CE8" w14:textId="77777777" w:rsidR="001D3001" w:rsidRPr="008861A7" w:rsidRDefault="001D3001" w:rsidP="00477C34">
            <w:pPr>
              <w:spacing w:after="0"/>
              <w:rPr>
                <w:b/>
                <w:bCs/>
                <w:iCs/>
                <w:noProof/>
              </w:rPr>
            </w:pPr>
            <w:r w:rsidRPr="008861A7">
              <w:rPr>
                <w:b/>
                <w:bCs/>
                <w:iCs/>
                <w:noProof/>
              </w:rPr>
              <w:t>Summary</w:t>
            </w:r>
          </w:p>
          <w:p w14:paraId="4F39742C" w14:textId="72405CD2" w:rsidR="001D3001" w:rsidRPr="008861A7" w:rsidRDefault="001D3001" w:rsidP="00477C34">
            <w:pPr>
              <w:spacing w:after="0"/>
              <w:rPr>
                <w:iCs/>
                <w:noProof/>
              </w:rPr>
            </w:pPr>
            <w:r w:rsidRPr="008861A7">
              <w:rPr>
                <w:iCs/>
                <w:noProof/>
              </w:rPr>
              <w:t>[</w:t>
            </w:r>
            <w:r w:rsidRPr="008861A7">
              <w:rPr>
                <w:i/>
                <w:noProof/>
              </w:rPr>
              <w:t>Name and, where available, LEI</w:t>
            </w:r>
            <w:r w:rsidRPr="008861A7">
              <w:rPr>
                <w:iCs/>
                <w:noProof/>
              </w:rPr>
              <w:t xml:space="preserve">] considers principal adverse impacts of its investment decisions on sustainability factors. The present statement is the consolidated </w:t>
            </w:r>
            <w:r w:rsidR="00493AE0" w:rsidRPr="008861A7">
              <w:rPr>
                <w:iCs/>
                <w:noProof/>
              </w:rPr>
              <w:t xml:space="preserve">statement on </w:t>
            </w:r>
            <w:r w:rsidRPr="008861A7">
              <w:rPr>
                <w:iCs/>
                <w:noProof/>
              </w:rPr>
              <w:t>principal adverse</w:t>
            </w:r>
            <w:r w:rsidR="00493AE0" w:rsidRPr="008861A7">
              <w:rPr>
                <w:iCs/>
                <w:noProof/>
              </w:rPr>
              <w:t xml:space="preserve"> impacts on</w:t>
            </w:r>
            <w:r w:rsidRPr="008861A7">
              <w:rPr>
                <w:iCs/>
                <w:noProof/>
              </w:rPr>
              <w:t xml:space="preserve"> sustainability </w:t>
            </w:r>
            <w:r w:rsidR="00493AE0" w:rsidRPr="008861A7">
              <w:rPr>
                <w:iCs/>
                <w:noProof/>
              </w:rPr>
              <w:t>factors</w:t>
            </w:r>
            <w:r w:rsidRPr="008861A7">
              <w:rPr>
                <w:iCs/>
                <w:noProof/>
              </w:rPr>
              <w:t xml:space="preserve"> of [</w:t>
            </w:r>
            <w:r w:rsidRPr="008861A7">
              <w:rPr>
                <w:i/>
                <w:noProof/>
              </w:rPr>
              <w:t>name of the financial market participant</w:t>
            </w:r>
            <w:r w:rsidRPr="008861A7">
              <w:rPr>
                <w:iCs/>
                <w:noProof/>
              </w:rPr>
              <w:t>] [</w:t>
            </w:r>
            <w:r w:rsidRPr="008861A7">
              <w:rPr>
                <w:i/>
                <w:noProof/>
              </w:rPr>
              <w:t>where applicable, insert “and its subsidiaries, namely [list the subsidiaries included]</w:t>
            </w:r>
            <w:r w:rsidRPr="008861A7">
              <w:rPr>
                <w:iCs/>
                <w:noProof/>
              </w:rPr>
              <w:t xml:space="preserve">”].  </w:t>
            </w:r>
          </w:p>
          <w:p w14:paraId="6A2A960C" w14:textId="77777777" w:rsidR="001D3001" w:rsidRPr="008861A7" w:rsidRDefault="001D3001" w:rsidP="00477C34">
            <w:pPr>
              <w:spacing w:after="0"/>
              <w:rPr>
                <w:iCs/>
                <w:noProof/>
              </w:rPr>
            </w:pPr>
          </w:p>
          <w:p w14:paraId="7ECB30EF" w14:textId="2A35E312" w:rsidR="001D3001" w:rsidRPr="008861A7" w:rsidRDefault="001D3001" w:rsidP="00477C34">
            <w:pPr>
              <w:spacing w:after="0"/>
              <w:rPr>
                <w:iCs/>
                <w:noProof/>
              </w:rPr>
            </w:pPr>
            <w:r w:rsidRPr="008861A7">
              <w:rPr>
                <w:iCs/>
                <w:noProof/>
              </w:rPr>
              <w:t xml:space="preserve">This </w:t>
            </w:r>
            <w:r w:rsidR="00493AE0" w:rsidRPr="008861A7">
              <w:rPr>
                <w:iCs/>
                <w:noProof/>
              </w:rPr>
              <w:t xml:space="preserve">statement on </w:t>
            </w:r>
            <w:r w:rsidRPr="008861A7">
              <w:rPr>
                <w:iCs/>
                <w:noProof/>
              </w:rPr>
              <w:t xml:space="preserve">principal adverse impacts </w:t>
            </w:r>
            <w:r w:rsidR="00493AE0" w:rsidRPr="008861A7">
              <w:rPr>
                <w:iCs/>
                <w:noProof/>
              </w:rPr>
              <w:t xml:space="preserve">on sustainability factors </w:t>
            </w:r>
            <w:r w:rsidRPr="008861A7">
              <w:rPr>
                <w:iCs/>
                <w:noProof/>
              </w:rPr>
              <w:t>covers the reference period from [</w:t>
            </w:r>
            <w:r w:rsidRPr="008861A7">
              <w:rPr>
                <w:i/>
                <w:noProof/>
              </w:rPr>
              <w:t>insert “1 January” or the date on which principal adverse impacts were first considered</w:t>
            </w:r>
            <w:r w:rsidRPr="008861A7">
              <w:rPr>
                <w:iCs/>
                <w:noProof/>
              </w:rPr>
              <w:t>] to 31 December [</w:t>
            </w:r>
            <w:r w:rsidRPr="008861A7">
              <w:rPr>
                <w:i/>
                <w:noProof/>
              </w:rPr>
              <w:t>year n</w:t>
            </w:r>
            <w:r w:rsidRPr="008861A7">
              <w:rPr>
                <w:iCs/>
                <w:noProof/>
              </w:rPr>
              <w:t xml:space="preserve">]. </w:t>
            </w:r>
          </w:p>
          <w:p w14:paraId="54213436" w14:textId="77777777" w:rsidR="0093127B" w:rsidRPr="008861A7" w:rsidRDefault="0093127B" w:rsidP="0093127B">
            <w:pPr>
              <w:spacing w:after="0"/>
              <w:rPr>
                <w:iCs/>
                <w:noProof/>
              </w:rPr>
            </w:pPr>
          </w:p>
          <w:p w14:paraId="18DCF155" w14:textId="06CE4DBC" w:rsidR="001D3001" w:rsidRPr="008861A7" w:rsidRDefault="001D3001" w:rsidP="00DA5FBC">
            <w:pPr>
              <w:spacing w:after="0"/>
              <w:rPr>
                <w:b/>
                <w:bCs/>
                <w:noProof/>
              </w:rPr>
            </w:pPr>
            <w:r w:rsidRPr="008861A7">
              <w:rPr>
                <w:iCs/>
                <w:noProof/>
              </w:rPr>
              <w:t>[</w:t>
            </w:r>
            <w:r w:rsidRPr="008861A7">
              <w:rPr>
                <w:i/>
                <w:noProof/>
              </w:rPr>
              <w:t xml:space="preserve">Summary referred to in Article </w:t>
            </w:r>
            <w:r w:rsidR="00DA5FBC" w:rsidRPr="008861A7">
              <w:rPr>
                <w:i/>
                <w:noProof/>
              </w:rPr>
              <w:t xml:space="preserve">5 </w:t>
            </w:r>
            <w:r w:rsidRPr="008861A7">
              <w:rPr>
                <w:i/>
                <w:noProof/>
              </w:rPr>
              <w:t xml:space="preserve">provided in the languages referred to in paragraph </w:t>
            </w:r>
            <w:r w:rsidR="00E72E90" w:rsidRPr="008861A7">
              <w:rPr>
                <w:i/>
                <w:noProof/>
              </w:rPr>
              <w:t xml:space="preserve">1 </w:t>
            </w:r>
            <w:r w:rsidRPr="008861A7">
              <w:rPr>
                <w:i/>
                <w:noProof/>
              </w:rPr>
              <w:t>thereof</w:t>
            </w:r>
            <w:r w:rsidRPr="008861A7">
              <w:rPr>
                <w:iCs/>
                <w:noProof/>
              </w:rPr>
              <w:t>]</w:t>
            </w:r>
          </w:p>
        </w:tc>
      </w:tr>
      <w:bookmarkEnd w:id="3"/>
      <w:tr w:rsidR="001D3001" w:rsidRPr="008861A7" w14:paraId="7865FD17" w14:textId="77777777" w:rsidTr="00477C34">
        <w:tc>
          <w:tcPr>
            <w:tcW w:w="14268" w:type="dxa"/>
            <w:tcBorders>
              <w:top w:val="single" w:sz="4" w:space="0" w:color="auto"/>
              <w:left w:val="single" w:sz="4" w:space="0" w:color="auto"/>
              <w:bottom w:val="single" w:sz="4" w:space="0" w:color="auto"/>
              <w:right w:val="single" w:sz="4" w:space="0" w:color="auto"/>
            </w:tcBorders>
          </w:tcPr>
          <w:p w14:paraId="2E6C6611" w14:textId="1234D6C5" w:rsidR="001D3001" w:rsidRPr="008861A7" w:rsidRDefault="001D3001" w:rsidP="00477C34">
            <w:pPr>
              <w:spacing w:after="0"/>
              <w:rPr>
                <w:b/>
                <w:bCs/>
                <w:noProof/>
              </w:rPr>
            </w:pPr>
            <w:r w:rsidRPr="008861A7">
              <w:rPr>
                <w:b/>
                <w:bCs/>
                <w:noProof/>
              </w:rPr>
              <w:t xml:space="preserve">Description of </w:t>
            </w:r>
            <w:r w:rsidR="00493AE0" w:rsidRPr="008861A7">
              <w:rPr>
                <w:b/>
                <w:bCs/>
                <w:noProof/>
              </w:rPr>
              <w:t xml:space="preserve">the </w:t>
            </w:r>
            <w:r w:rsidRPr="008861A7">
              <w:rPr>
                <w:b/>
                <w:bCs/>
                <w:noProof/>
              </w:rPr>
              <w:t xml:space="preserve">principal adverse </w:t>
            </w:r>
            <w:r w:rsidR="00493AE0" w:rsidRPr="008861A7">
              <w:rPr>
                <w:b/>
                <w:bCs/>
                <w:noProof/>
              </w:rPr>
              <w:t xml:space="preserve">impacts on </w:t>
            </w:r>
            <w:r w:rsidRPr="008861A7">
              <w:rPr>
                <w:b/>
                <w:bCs/>
                <w:noProof/>
              </w:rPr>
              <w:t>sustainability</w:t>
            </w:r>
            <w:r w:rsidR="00493AE0" w:rsidRPr="008861A7">
              <w:rPr>
                <w:b/>
                <w:bCs/>
                <w:noProof/>
              </w:rPr>
              <w:t xml:space="preserve"> factors</w:t>
            </w:r>
          </w:p>
          <w:p w14:paraId="0F945A65" w14:textId="77777777" w:rsidR="001D3001" w:rsidRPr="008861A7" w:rsidRDefault="001D3001" w:rsidP="00477C34">
            <w:pPr>
              <w:spacing w:after="0"/>
              <w:rPr>
                <w:b/>
                <w:bCs/>
                <w:noProof/>
              </w:rPr>
            </w:pPr>
          </w:p>
          <w:p w14:paraId="495C7B5B" w14:textId="3330CB44" w:rsidR="001D3001" w:rsidRPr="008861A7" w:rsidRDefault="001D3001" w:rsidP="00477C34">
            <w:pPr>
              <w:spacing w:after="0"/>
              <w:rPr>
                <w:noProof/>
              </w:rPr>
            </w:pPr>
            <w:r w:rsidRPr="008861A7">
              <w:rPr>
                <w:noProof/>
              </w:rPr>
              <w:t>[</w:t>
            </w:r>
            <w:r w:rsidRPr="008861A7">
              <w:rPr>
                <w:i/>
                <w:iCs/>
                <w:noProof/>
              </w:rPr>
              <w:t xml:space="preserve">Information referred to in Article </w:t>
            </w:r>
            <w:r w:rsidR="00DA5FBC" w:rsidRPr="008861A7">
              <w:rPr>
                <w:i/>
                <w:iCs/>
                <w:noProof/>
              </w:rPr>
              <w:t xml:space="preserve">7 </w:t>
            </w:r>
            <w:r w:rsidRPr="008861A7">
              <w:rPr>
                <w:i/>
                <w:iCs/>
                <w:noProof/>
              </w:rPr>
              <w:t>in the format set out below</w:t>
            </w:r>
            <w:r w:rsidRPr="008861A7">
              <w:rPr>
                <w:noProof/>
              </w:rPr>
              <w:t>]</w:t>
            </w:r>
          </w:p>
          <w:p w14:paraId="7BF52168" w14:textId="77777777" w:rsidR="001D3001" w:rsidRPr="008861A7" w:rsidRDefault="001D3001" w:rsidP="00477C34">
            <w:pPr>
              <w:spacing w:after="0"/>
              <w:rPr>
                <w:noProof/>
              </w:rPr>
            </w:pPr>
          </w:p>
          <w:tbl>
            <w:tblPr>
              <w:tblStyle w:val="TableGrid2"/>
              <w:tblW w:w="14042" w:type="dxa"/>
              <w:tblLook w:val="04A0" w:firstRow="1" w:lastRow="0" w:firstColumn="1" w:lastColumn="0" w:noHBand="0" w:noVBand="1"/>
            </w:tblPr>
            <w:tblGrid>
              <w:gridCol w:w="1643"/>
              <w:gridCol w:w="2588"/>
              <w:gridCol w:w="3331"/>
              <w:gridCol w:w="1831"/>
              <w:gridCol w:w="1780"/>
              <w:gridCol w:w="1470"/>
              <w:gridCol w:w="1399"/>
            </w:tblGrid>
            <w:tr w:rsidR="001D3001" w:rsidRPr="008861A7" w14:paraId="347DBB98" w14:textId="77777777" w:rsidTr="00E72E90">
              <w:trPr>
                <w:trHeight w:val="522"/>
                <w:tblHeader/>
              </w:trPr>
              <w:tc>
                <w:tcPr>
                  <w:tcW w:w="14042" w:type="dxa"/>
                  <w:gridSpan w:val="7"/>
                  <w:tcBorders>
                    <w:top w:val="single" w:sz="4" w:space="0" w:color="auto"/>
                    <w:left w:val="single" w:sz="4" w:space="0" w:color="auto"/>
                    <w:bottom w:val="single" w:sz="4" w:space="0" w:color="auto"/>
                    <w:right w:val="single" w:sz="4" w:space="0" w:color="auto"/>
                  </w:tcBorders>
                </w:tcPr>
                <w:p w14:paraId="060F7A56" w14:textId="77777777" w:rsidR="001D3001" w:rsidRPr="008861A7" w:rsidRDefault="001D3001" w:rsidP="00477C34">
                  <w:pPr>
                    <w:spacing w:after="0"/>
                    <w:jc w:val="center"/>
                    <w:rPr>
                      <w:b/>
                      <w:noProof/>
                    </w:rPr>
                  </w:pPr>
                  <w:bookmarkStart w:id="4" w:name="_Hlk56013249"/>
                  <w:bookmarkStart w:id="5" w:name="_Hlk56002187"/>
                </w:p>
                <w:p w14:paraId="1AD4E9EB" w14:textId="77777777" w:rsidR="001D3001" w:rsidRPr="008861A7" w:rsidRDefault="001D3001" w:rsidP="00477C34">
                  <w:pPr>
                    <w:spacing w:after="0"/>
                    <w:jc w:val="center"/>
                    <w:rPr>
                      <w:b/>
                      <w:noProof/>
                    </w:rPr>
                  </w:pPr>
                  <w:r w:rsidRPr="008861A7">
                    <w:rPr>
                      <w:b/>
                      <w:noProof/>
                    </w:rPr>
                    <w:t>Indicators applicable to investments in investee companies</w:t>
                  </w:r>
                </w:p>
                <w:p w14:paraId="751EAA72" w14:textId="77777777" w:rsidR="001D3001" w:rsidRPr="008861A7" w:rsidRDefault="001D3001" w:rsidP="00477C34">
                  <w:pPr>
                    <w:spacing w:after="0"/>
                    <w:jc w:val="center"/>
                    <w:rPr>
                      <w:b/>
                      <w:noProof/>
                    </w:rPr>
                  </w:pPr>
                </w:p>
              </w:tc>
            </w:tr>
            <w:bookmarkEnd w:id="4"/>
            <w:tr w:rsidR="001D3001" w:rsidRPr="008861A7" w14:paraId="6CFABE47" w14:textId="77777777" w:rsidTr="00E72E90">
              <w:trPr>
                <w:tblHeader/>
              </w:trPr>
              <w:tc>
                <w:tcPr>
                  <w:tcW w:w="4128" w:type="dxa"/>
                  <w:gridSpan w:val="2"/>
                  <w:tcBorders>
                    <w:top w:val="single" w:sz="4" w:space="0" w:color="auto"/>
                    <w:left w:val="single" w:sz="4" w:space="0" w:color="auto"/>
                    <w:bottom w:val="single" w:sz="4" w:space="0" w:color="auto"/>
                    <w:right w:val="single" w:sz="4" w:space="0" w:color="auto"/>
                  </w:tcBorders>
                  <w:hideMark/>
                </w:tcPr>
                <w:p w14:paraId="56928A83" w14:textId="77777777" w:rsidR="001D3001" w:rsidRPr="008861A7" w:rsidRDefault="001D3001" w:rsidP="00477C34">
                  <w:pPr>
                    <w:spacing w:after="0"/>
                    <w:jc w:val="center"/>
                    <w:rPr>
                      <w:b/>
                      <w:noProof/>
                    </w:rPr>
                  </w:pPr>
                  <w:r w:rsidRPr="008861A7">
                    <w:rPr>
                      <w:b/>
                      <w:noProof/>
                    </w:rPr>
                    <w:t>Adverse sustainability indicator</w:t>
                  </w:r>
                </w:p>
              </w:tc>
              <w:tc>
                <w:tcPr>
                  <w:tcW w:w="3402" w:type="dxa"/>
                  <w:tcBorders>
                    <w:top w:val="single" w:sz="4" w:space="0" w:color="auto"/>
                    <w:left w:val="single" w:sz="4" w:space="0" w:color="auto"/>
                    <w:bottom w:val="single" w:sz="4" w:space="0" w:color="auto"/>
                    <w:right w:val="single" w:sz="4" w:space="0" w:color="auto"/>
                  </w:tcBorders>
                  <w:hideMark/>
                </w:tcPr>
                <w:p w14:paraId="4ED8AAB1" w14:textId="77777777" w:rsidR="001D3001" w:rsidRPr="008861A7" w:rsidRDefault="001D3001" w:rsidP="00477C34">
                  <w:pPr>
                    <w:spacing w:after="0"/>
                    <w:jc w:val="center"/>
                    <w:rPr>
                      <w:b/>
                      <w:noProof/>
                    </w:rPr>
                  </w:pPr>
                  <w:r w:rsidRPr="008861A7">
                    <w:rPr>
                      <w:b/>
                      <w:noProof/>
                    </w:rPr>
                    <w:t>Metric</w:t>
                  </w:r>
                </w:p>
              </w:tc>
              <w:tc>
                <w:tcPr>
                  <w:tcW w:w="1869" w:type="dxa"/>
                  <w:tcBorders>
                    <w:top w:val="single" w:sz="4" w:space="0" w:color="auto"/>
                    <w:left w:val="single" w:sz="4" w:space="0" w:color="auto"/>
                    <w:bottom w:val="single" w:sz="4" w:space="0" w:color="auto"/>
                    <w:right w:val="single" w:sz="4" w:space="0" w:color="auto"/>
                  </w:tcBorders>
                  <w:hideMark/>
                </w:tcPr>
                <w:p w14:paraId="69191FBD" w14:textId="77777777" w:rsidR="001D3001" w:rsidRPr="008861A7" w:rsidRDefault="001D3001" w:rsidP="00477C34">
                  <w:pPr>
                    <w:spacing w:after="0"/>
                    <w:jc w:val="center"/>
                    <w:rPr>
                      <w:b/>
                      <w:noProof/>
                    </w:rPr>
                  </w:pPr>
                  <w:r w:rsidRPr="008861A7">
                    <w:rPr>
                      <w:b/>
                      <w:noProof/>
                    </w:rPr>
                    <w:t>Impact [year n]</w:t>
                  </w:r>
                </w:p>
              </w:tc>
              <w:tc>
                <w:tcPr>
                  <w:tcW w:w="1816" w:type="dxa"/>
                  <w:tcBorders>
                    <w:top w:val="single" w:sz="4" w:space="0" w:color="auto"/>
                    <w:left w:val="single" w:sz="4" w:space="0" w:color="auto"/>
                    <w:bottom w:val="single" w:sz="4" w:space="0" w:color="auto"/>
                    <w:right w:val="single" w:sz="4" w:space="0" w:color="auto"/>
                  </w:tcBorders>
                  <w:hideMark/>
                </w:tcPr>
                <w:p w14:paraId="03E394E4" w14:textId="77777777" w:rsidR="001D3001" w:rsidRPr="008861A7" w:rsidRDefault="001D3001" w:rsidP="00477C34">
                  <w:pPr>
                    <w:spacing w:after="0"/>
                    <w:jc w:val="center"/>
                    <w:rPr>
                      <w:b/>
                      <w:noProof/>
                    </w:rPr>
                  </w:pPr>
                  <w:r w:rsidRPr="008861A7">
                    <w:rPr>
                      <w:b/>
                      <w:noProof/>
                    </w:rPr>
                    <w:t>Impact [year n-1]</w:t>
                  </w:r>
                </w:p>
              </w:tc>
              <w:tc>
                <w:tcPr>
                  <w:tcW w:w="1418" w:type="dxa"/>
                  <w:tcBorders>
                    <w:top w:val="single" w:sz="4" w:space="0" w:color="auto"/>
                    <w:left w:val="single" w:sz="4" w:space="0" w:color="auto"/>
                    <w:bottom w:val="single" w:sz="4" w:space="0" w:color="auto"/>
                    <w:right w:val="single" w:sz="4" w:space="0" w:color="auto"/>
                  </w:tcBorders>
                  <w:hideMark/>
                </w:tcPr>
                <w:p w14:paraId="4CD3B2A3" w14:textId="77777777" w:rsidR="001D3001" w:rsidRPr="008861A7" w:rsidRDefault="001D3001" w:rsidP="00477C34">
                  <w:pPr>
                    <w:spacing w:after="0"/>
                    <w:jc w:val="center"/>
                    <w:rPr>
                      <w:b/>
                      <w:noProof/>
                    </w:rPr>
                  </w:pPr>
                  <w:r w:rsidRPr="008861A7">
                    <w:rPr>
                      <w:b/>
                      <w:noProof/>
                    </w:rPr>
                    <w:t>Explanation</w:t>
                  </w:r>
                </w:p>
              </w:tc>
              <w:tc>
                <w:tcPr>
                  <w:tcW w:w="1409" w:type="dxa"/>
                  <w:tcBorders>
                    <w:top w:val="single" w:sz="4" w:space="0" w:color="auto"/>
                    <w:left w:val="single" w:sz="4" w:space="0" w:color="auto"/>
                    <w:bottom w:val="single" w:sz="4" w:space="0" w:color="auto"/>
                    <w:right w:val="single" w:sz="4" w:space="0" w:color="auto"/>
                  </w:tcBorders>
                </w:tcPr>
                <w:p w14:paraId="7078FFD0" w14:textId="77777777" w:rsidR="001D3001" w:rsidRPr="008861A7" w:rsidRDefault="001D3001" w:rsidP="00477C34">
                  <w:pPr>
                    <w:spacing w:after="0"/>
                    <w:jc w:val="center"/>
                    <w:rPr>
                      <w:b/>
                      <w:noProof/>
                    </w:rPr>
                  </w:pPr>
                  <w:r w:rsidRPr="008861A7">
                    <w:rPr>
                      <w:b/>
                      <w:noProof/>
                    </w:rPr>
                    <w:t>Actions taken</w:t>
                  </w:r>
                  <w:r w:rsidR="008E6A91" w:rsidRPr="008861A7">
                    <w:rPr>
                      <w:b/>
                      <w:noProof/>
                    </w:rPr>
                    <w:t>, and actions planned and targets set for the next reference period</w:t>
                  </w:r>
                </w:p>
              </w:tc>
            </w:tr>
            <w:tr w:rsidR="001D3001" w:rsidRPr="008861A7" w14:paraId="10A8F89E" w14:textId="77777777" w:rsidTr="00E72E90">
              <w:tc>
                <w:tcPr>
                  <w:tcW w:w="14042" w:type="dxa"/>
                  <w:gridSpan w:val="7"/>
                  <w:tcBorders>
                    <w:top w:val="single" w:sz="4" w:space="0" w:color="auto"/>
                    <w:left w:val="single" w:sz="4" w:space="0" w:color="auto"/>
                    <w:bottom w:val="single" w:sz="4" w:space="0" w:color="auto"/>
                    <w:right w:val="single" w:sz="4" w:space="0" w:color="auto"/>
                  </w:tcBorders>
                  <w:hideMark/>
                </w:tcPr>
                <w:p w14:paraId="6A62A366" w14:textId="77777777" w:rsidR="001D3001" w:rsidRPr="008861A7" w:rsidRDefault="001D3001" w:rsidP="00477C34">
                  <w:pPr>
                    <w:spacing w:after="0"/>
                    <w:jc w:val="center"/>
                    <w:rPr>
                      <w:b/>
                      <w:noProof/>
                    </w:rPr>
                  </w:pPr>
                  <w:bookmarkStart w:id="6" w:name="_Hlk56014613"/>
                  <w:bookmarkEnd w:id="5"/>
                </w:p>
                <w:p w14:paraId="652378C3" w14:textId="77777777" w:rsidR="001D3001" w:rsidRPr="008861A7" w:rsidRDefault="001D3001" w:rsidP="00477C34">
                  <w:pPr>
                    <w:spacing w:after="0"/>
                    <w:jc w:val="center"/>
                    <w:rPr>
                      <w:b/>
                      <w:noProof/>
                    </w:rPr>
                  </w:pPr>
                  <w:r w:rsidRPr="008861A7">
                    <w:rPr>
                      <w:b/>
                      <w:noProof/>
                    </w:rPr>
                    <w:t>CLIMATE AND OTHER ENVIRONMENT-RELATED INDICATORS</w:t>
                  </w:r>
                </w:p>
                <w:p w14:paraId="1CDCC295" w14:textId="77777777" w:rsidR="001D3001" w:rsidRPr="008861A7" w:rsidRDefault="001D3001" w:rsidP="00477C34">
                  <w:pPr>
                    <w:spacing w:after="0"/>
                    <w:jc w:val="center"/>
                    <w:rPr>
                      <w:b/>
                      <w:noProof/>
                    </w:rPr>
                  </w:pPr>
                </w:p>
                <w:p w14:paraId="5C219DA0" w14:textId="77777777" w:rsidR="001D3001" w:rsidRPr="008861A7" w:rsidRDefault="001D3001" w:rsidP="00477C34">
                  <w:pPr>
                    <w:spacing w:after="0"/>
                    <w:rPr>
                      <w:b/>
                      <w:noProof/>
                    </w:rPr>
                  </w:pPr>
                </w:p>
              </w:tc>
            </w:tr>
            <w:bookmarkEnd w:id="6"/>
            <w:tr w:rsidR="001D3001" w:rsidRPr="008861A7" w14:paraId="7DBFECE8" w14:textId="77777777" w:rsidTr="00E72E90">
              <w:tc>
                <w:tcPr>
                  <w:tcW w:w="1531" w:type="dxa"/>
                  <w:vMerge w:val="restart"/>
                  <w:tcBorders>
                    <w:top w:val="single" w:sz="4" w:space="0" w:color="auto"/>
                    <w:left w:val="single" w:sz="4" w:space="0" w:color="auto"/>
                    <w:bottom w:val="single" w:sz="4" w:space="0" w:color="auto"/>
                    <w:right w:val="single" w:sz="4" w:space="0" w:color="auto"/>
                  </w:tcBorders>
                  <w:hideMark/>
                </w:tcPr>
                <w:p w14:paraId="3D5671AE" w14:textId="77777777" w:rsidR="001D3001" w:rsidRPr="008861A7" w:rsidRDefault="001D3001" w:rsidP="00477C34">
                  <w:pPr>
                    <w:spacing w:after="0"/>
                    <w:rPr>
                      <w:noProof/>
                    </w:rPr>
                  </w:pPr>
                  <w:r w:rsidRPr="008861A7">
                    <w:rPr>
                      <w:noProof/>
                    </w:rPr>
                    <w:t xml:space="preserve">Greenhouse gas emissions </w:t>
                  </w:r>
                </w:p>
              </w:tc>
              <w:tc>
                <w:tcPr>
                  <w:tcW w:w="2597" w:type="dxa"/>
                  <w:vMerge w:val="restart"/>
                  <w:tcBorders>
                    <w:top w:val="single" w:sz="4" w:space="0" w:color="auto"/>
                    <w:left w:val="single" w:sz="4" w:space="0" w:color="auto"/>
                    <w:right w:val="single" w:sz="4" w:space="0" w:color="auto"/>
                  </w:tcBorders>
                  <w:hideMark/>
                </w:tcPr>
                <w:p w14:paraId="38540777" w14:textId="77777777" w:rsidR="001D3001" w:rsidRPr="008861A7" w:rsidRDefault="001D3001" w:rsidP="006F731C">
                  <w:pPr>
                    <w:numPr>
                      <w:ilvl w:val="0"/>
                      <w:numId w:val="4"/>
                    </w:numPr>
                    <w:spacing w:before="0" w:after="0"/>
                    <w:jc w:val="left"/>
                    <w:rPr>
                      <w:noProof/>
                    </w:rPr>
                  </w:pPr>
                  <w:r w:rsidRPr="008861A7">
                    <w:rPr>
                      <w:noProof/>
                    </w:rPr>
                    <w:t xml:space="preserve">GHG emissions </w:t>
                  </w:r>
                </w:p>
              </w:tc>
              <w:tc>
                <w:tcPr>
                  <w:tcW w:w="3402" w:type="dxa"/>
                  <w:tcBorders>
                    <w:top w:val="single" w:sz="4" w:space="0" w:color="auto"/>
                    <w:left w:val="single" w:sz="4" w:space="0" w:color="auto"/>
                    <w:bottom w:val="single" w:sz="4" w:space="0" w:color="auto"/>
                    <w:right w:val="single" w:sz="4" w:space="0" w:color="auto"/>
                  </w:tcBorders>
                  <w:hideMark/>
                </w:tcPr>
                <w:p w14:paraId="0AAF1F40" w14:textId="77777777" w:rsidR="001D3001" w:rsidRPr="008861A7" w:rsidRDefault="001D3001" w:rsidP="00477C34">
                  <w:pPr>
                    <w:spacing w:after="0"/>
                    <w:rPr>
                      <w:noProof/>
                    </w:rPr>
                  </w:pPr>
                  <w:r w:rsidRPr="008861A7">
                    <w:rPr>
                      <w:noProof/>
                    </w:rPr>
                    <w:t>Scope 1 GHG emissions</w:t>
                  </w:r>
                </w:p>
              </w:tc>
              <w:tc>
                <w:tcPr>
                  <w:tcW w:w="1869" w:type="dxa"/>
                  <w:tcBorders>
                    <w:top w:val="single" w:sz="4" w:space="0" w:color="auto"/>
                    <w:left w:val="single" w:sz="4" w:space="0" w:color="auto"/>
                    <w:bottom w:val="single" w:sz="4" w:space="0" w:color="auto"/>
                    <w:right w:val="single" w:sz="4" w:space="0" w:color="auto"/>
                  </w:tcBorders>
                </w:tcPr>
                <w:p w14:paraId="7B4E8482"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0E3E5A27" w14:textId="77777777" w:rsidR="001D3001" w:rsidRPr="008861A7" w:rsidRDefault="001D3001" w:rsidP="00477C34">
                  <w:pPr>
                    <w:spacing w:after="0"/>
                    <w:rPr>
                      <w:noProof/>
                    </w:rPr>
                  </w:pPr>
                </w:p>
                <w:p w14:paraId="09154571"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1015A72B"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29BAC90E" w14:textId="77777777" w:rsidR="001D3001" w:rsidRPr="008861A7" w:rsidRDefault="001D3001" w:rsidP="00477C34">
                  <w:pPr>
                    <w:spacing w:after="0"/>
                    <w:rPr>
                      <w:noProof/>
                    </w:rPr>
                  </w:pPr>
                </w:p>
              </w:tc>
            </w:tr>
            <w:tr w:rsidR="001D3001" w:rsidRPr="008861A7" w14:paraId="5F17747F" w14:textId="77777777" w:rsidTr="00E72E90">
              <w:tc>
                <w:tcPr>
                  <w:tcW w:w="1531" w:type="dxa"/>
                  <w:vMerge/>
                  <w:tcBorders>
                    <w:top w:val="single" w:sz="4" w:space="0" w:color="auto"/>
                    <w:left w:val="single" w:sz="4" w:space="0" w:color="auto"/>
                    <w:bottom w:val="single" w:sz="4" w:space="0" w:color="auto"/>
                    <w:right w:val="single" w:sz="4" w:space="0" w:color="auto"/>
                  </w:tcBorders>
                </w:tcPr>
                <w:p w14:paraId="46F083C8" w14:textId="77777777" w:rsidR="001D3001" w:rsidRPr="008861A7" w:rsidRDefault="001D3001" w:rsidP="00477C34">
                  <w:pPr>
                    <w:spacing w:after="0"/>
                    <w:rPr>
                      <w:noProof/>
                    </w:rPr>
                  </w:pPr>
                </w:p>
              </w:tc>
              <w:tc>
                <w:tcPr>
                  <w:tcW w:w="2597" w:type="dxa"/>
                  <w:vMerge/>
                  <w:tcBorders>
                    <w:left w:val="single" w:sz="4" w:space="0" w:color="auto"/>
                    <w:right w:val="single" w:sz="4" w:space="0" w:color="auto"/>
                  </w:tcBorders>
                </w:tcPr>
                <w:p w14:paraId="13FC611B" w14:textId="77777777" w:rsidR="001D3001" w:rsidRPr="008861A7" w:rsidRDefault="001D3001" w:rsidP="006F731C">
                  <w:pPr>
                    <w:numPr>
                      <w:ilvl w:val="0"/>
                      <w:numId w:val="4"/>
                    </w:numPr>
                    <w:spacing w:before="0" w:after="0"/>
                    <w:jc w:val="left"/>
                    <w:rPr>
                      <w:noProof/>
                    </w:rPr>
                  </w:pPr>
                </w:p>
              </w:tc>
              <w:tc>
                <w:tcPr>
                  <w:tcW w:w="3402" w:type="dxa"/>
                  <w:tcBorders>
                    <w:top w:val="single" w:sz="4" w:space="0" w:color="auto"/>
                    <w:left w:val="single" w:sz="4" w:space="0" w:color="auto"/>
                    <w:bottom w:val="single" w:sz="4" w:space="0" w:color="auto"/>
                    <w:right w:val="single" w:sz="4" w:space="0" w:color="auto"/>
                  </w:tcBorders>
                </w:tcPr>
                <w:p w14:paraId="54260D4B" w14:textId="77777777" w:rsidR="001D3001" w:rsidRPr="008861A7" w:rsidRDefault="001D3001" w:rsidP="001D3001">
                  <w:pPr>
                    <w:spacing w:after="0"/>
                    <w:rPr>
                      <w:noProof/>
                    </w:rPr>
                  </w:pPr>
                  <w:r w:rsidRPr="008861A7">
                    <w:rPr>
                      <w:noProof/>
                    </w:rPr>
                    <w:t>Scope 2 GHG emissions</w:t>
                  </w:r>
                </w:p>
              </w:tc>
              <w:tc>
                <w:tcPr>
                  <w:tcW w:w="1869" w:type="dxa"/>
                  <w:tcBorders>
                    <w:top w:val="single" w:sz="4" w:space="0" w:color="auto"/>
                    <w:left w:val="single" w:sz="4" w:space="0" w:color="auto"/>
                    <w:bottom w:val="single" w:sz="4" w:space="0" w:color="auto"/>
                    <w:right w:val="single" w:sz="4" w:space="0" w:color="auto"/>
                  </w:tcBorders>
                </w:tcPr>
                <w:p w14:paraId="52D8D0D5" w14:textId="77777777" w:rsidR="001D3001" w:rsidRPr="008861A7" w:rsidDel="001F2FF9"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62D06C5E" w14:textId="77777777" w:rsidR="001D3001" w:rsidRPr="008861A7" w:rsidDel="001F2FF9"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70DA4F0D"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02179E10" w14:textId="77777777" w:rsidR="001D3001" w:rsidRPr="008861A7" w:rsidRDefault="001D3001" w:rsidP="00477C34">
                  <w:pPr>
                    <w:spacing w:after="0"/>
                    <w:rPr>
                      <w:noProof/>
                    </w:rPr>
                  </w:pPr>
                </w:p>
              </w:tc>
            </w:tr>
            <w:tr w:rsidR="001D3001" w:rsidRPr="008861A7" w14:paraId="2B936E7F" w14:textId="77777777" w:rsidTr="00E72E90">
              <w:tc>
                <w:tcPr>
                  <w:tcW w:w="1531" w:type="dxa"/>
                  <w:vMerge/>
                  <w:tcBorders>
                    <w:top w:val="single" w:sz="4" w:space="0" w:color="auto"/>
                    <w:left w:val="single" w:sz="4" w:space="0" w:color="auto"/>
                    <w:bottom w:val="single" w:sz="4" w:space="0" w:color="auto"/>
                    <w:right w:val="single" w:sz="4" w:space="0" w:color="auto"/>
                  </w:tcBorders>
                </w:tcPr>
                <w:p w14:paraId="21DD1E2F" w14:textId="77777777" w:rsidR="001D3001" w:rsidRPr="008861A7" w:rsidRDefault="001D3001" w:rsidP="00477C34">
                  <w:pPr>
                    <w:spacing w:after="0"/>
                    <w:rPr>
                      <w:noProof/>
                    </w:rPr>
                  </w:pPr>
                </w:p>
              </w:tc>
              <w:tc>
                <w:tcPr>
                  <w:tcW w:w="2597" w:type="dxa"/>
                  <w:vMerge/>
                  <w:tcBorders>
                    <w:left w:val="single" w:sz="4" w:space="0" w:color="auto"/>
                    <w:right w:val="single" w:sz="4" w:space="0" w:color="auto"/>
                  </w:tcBorders>
                </w:tcPr>
                <w:p w14:paraId="3ADBA6B9" w14:textId="77777777" w:rsidR="001D3001" w:rsidRPr="008861A7" w:rsidRDefault="001D3001" w:rsidP="006F731C">
                  <w:pPr>
                    <w:numPr>
                      <w:ilvl w:val="0"/>
                      <w:numId w:val="4"/>
                    </w:numPr>
                    <w:spacing w:before="0" w:after="0"/>
                    <w:jc w:val="left"/>
                    <w:rPr>
                      <w:noProof/>
                    </w:rPr>
                  </w:pPr>
                </w:p>
              </w:tc>
              <w:tc>
                <w:tcPr>
                  <w:tcW w:w="3402" w:type="dxa"/>
                  <w:tcBorders>
                    <w:top w:val="single" w:sz="4" w:space="0" w:color="auto"/>
                    <w:left w:val="single" w:sz="4" w:space="0" w:color="auto"/>
                    <w:bottom w:val="single" w:sz="4" w:space="0" w:color="auto"/>
                    <w:right w:val="single" w:sz="4" w:space="0" w:color="auto"/>
                  </w:tcBorders>
                </w:tcPr>
                <w:p w14:paraId="1797E326" w14:textId="13270653" w:rsidR="001D3001" w:rsidRPr="008861A7" w:rsidRDefault="001D3001" w:rsidP="00477C34">
                  <w:pPr>
                    <w:spacing w:after="0"/>
                    <w:rPr>
                      <w:noProof/>
                    </w:rPr>
                  </w:pPr>
                  <w:r w:rsidRPr="008861A7">
                    <w:rPr>
                      <w:noProof/>
                    </w:rPr>
                    <w:t>Scope 3 GHG emissions</w:t>
                  </w:r>
                </w:p>
              </w:tc>
              <w:tc>
                <w:tcPr>
                  <w:tcW w:w="1869" w:type="dxa"/>
                  <w:tcBorders>
                    <w:top w:val="single" w:sz="4" w:space="0" w:color="auto"/>
                    <w:left w:val="single" w:sz="4" w:space="0" w:color="auto"/>
                    <w:bottom w:val="single" w:sz="4" w:space="0" w:color="auto"/>
                    <w:right w:val="single" w:sz="4" w:space="0" w:color="auto"/>
                  </w:tcBorders>
                </w:tcPr>
                <w:p w14:paraId="38F1D769" w14:textId="77777777" w:rsidR="001D3001" w:rsidRPr="008861A7" w:rsidDel="001F2FF9"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0E1B03C" w14:textId="77777777" w:rsidR="001D3001" w:rsidRPr="008861A7" w:rsidDel="001F2FF9"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5D32C683"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7FF66BD3" w14:textId="77777777" w:rsidR="001D3001" w:rsidRPr="008861A7" w:rsidRDefault="001D3001" w:rsidP="00477C34">
                  <w:pPr>
                    <w:spacing w:after="0"/>
                    <w:rPr>
                      <w:noProof/>
                    </w:rPr>
                  </w:pPr>
                </w:p>
              </w:tc>
            </w:tr>
            <w:tr w:rsidR="001D3001" w:rsidRPr="008861A7" w14:paraId="10227257" w14:textId="77777777" w:rsidTr="00E72E90">
              <w:tc>
                <w:tcPr>
                  <w:tcW w:w="1531" w:type="dxa"/>
                  <w:vMerge/>
                  <w:tcBorders>
                    <w:top w:val="single" w:sz="4" w:space="0" w:color="auto"/>
                    <w:left w:val="single" w:sz="4" w:space="0" w:color="auto"/>
                    <w:bottom w:val="single" w:sz="4" w:space="0" w:color="auto"/>
                    <w:right w:val="single" w:sz="4" w:space="0" w:color="auto"/>
                  </w:tcBorders>
                </w:tcPr>
                <w:p w14:paraId="5202C6E4" w14:textId="77777777" w:rsidR="001D3001" w:rsidRPr="008861A7" w:rsidRDefault="001D3001" w:rsidP="00477C34">
                  <w:pPr>
                    <w:spacing w:after="0"/>
                    <w:rPr>
                      <w:noProof/>
                    </w:rPr>
                  </w:pPr>
                </w:p>
              </w:tc>
              <w:tc>
                <w:tcPr>
                  <w:tcW w:w="2597" w:type="dxa"/>
                  <w:vMerge/>
                  <w:tcBorders>
                    <w:left w:val="single" w:sz="4" w:space="0" w:color="auto"/>
                    <w:bottom w:val="single" w:sz="4" w:space="0" w:color="auto"/>
                    <w:right w:val="single" w:sz="4" w:space="0" w:color="auto"/>
                  </w:tcBorders>
                </w:tcPr>
                <w:p w14:paraId="4F9500FA" w14:textId="77777777" w:rsidR="001D3001" w:rsidRPr="008861A7" w:rsidRDefault="001D3001" w:rsidP="006F731C">
                  <w:pPr>
                    <w:numPr>
                      <w:ilvl w:val="0"/>
                      <w:numId w:val="4"/>
                    </w:numPr>
                    <w:spacing w:before="0" w:after="0"/>
                    <w:jc w:val="left"/>
                    <w:rPr>
                      <w:noProof/>
                    </w:rPr>
                  </w:pPr>
                </w:p>
              </w:tc>
              <w:tc>
                <w:tcPr>
                  <w:tcW w:w="3402" w:type="dxa"/>
                  <w:tcBorders>
                    <w:top w:val="single" w:sz="4" w:space="0" w:color="auto"/>
                    <w:left w:val="single" w:sz="4" w:space="0" w:color="auto"/>
                    <w:bottom w:val="single" w:sz="4" w:space="0" w:color="auto"/>
                    <w:right w:val="single" w:sz="4" w:space="0" w:color="auto"/>
                  </w:tcBorders>
                </w:tcPr>
                <w:p w14:paraId="22536318" w14:textId="77777777" w:rsidR="001D3001" w:rsidRPr="008861A7" w:rsidRDefault="001D3001" w:rsidP="001D3001">
                  <w:pPr>
                    <w:spacing w:after="0"/>
                    <w:rPr>
                      <w:noProof/>
                    </w:rPr>
                  </w:pPr>
                  <w:r w:rsidRPr="008861A7">
                    <w:rPr>
                      <w:noProof/>
                    </w:rPr>
                    <w:t>Total GHG emissions</w:t>
                  </w:r>
                </w:p>
              </w:tc>
              <w:tc>
                <w:tcPr>
                  <w:tcW w:w="1869" w:type="dxa"/>
                  <w:tcBorders>
                    <w:top w:val="single" w:sz="4" w:space="0" w:color="auto"/>
                    <w:left w:val="single" w:sz="4" w:space="0" w:color="auto"/>
                    <w:bottom w:val="single" w:sz="4" w:space="0" w:color="auto"/>
                    <w:right w:val="single" w:sz="4" w:space="0" w:color="auto"/>
                  </w:tcBorders>
                </w:tcPr>
                <w:p w14:paraId="740D5540" w14:textId="77777777" w:rsidR="001D3001" w:rsidRPr="008861A7" w:rsidDel="001F2FF9"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E8C67AB" w14:textId="77777777" w:rsidR="001D3001" w:rsidRPr="008861A7" w:rsidDel="001F2FF9"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2B71E8DC"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4BFEFC50" w14:textId="77777777" w:rsidR="001D3001" w:rsidRPr="008861A7" w:rsidRDefault="001D3001" w:rsidP="00477C34">
                  <w:pPr>
                    <w:spacing w:after="0"/>
                    <w:rPr>
                      <w:noProof/>
                    </w:rPr>
                  </w:pPr>
                </w:p>
              </w:tc>
            </w:tr>
            <w:tr w:rsidR="001D3001" w:rsidRPr="008861A7" w14:paraId="76FC4C92"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14892EF4"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hideMark/>
                </w:tcPr>
                <w:p w14:paraId="6DDAF4B8" w14:textId="77777777" w:rsidR="001D3001" w:rsidRPr="008861A7" w:rsidRDefault="001D3001" w:rsidP="006F731C">
                  <w:pPr>
                    <w:numPr>
                      <w:ilvl w:val="0"/>
                      <w:numId w:val="4"/>
                    </w:numPr>
                    <w:spacing w:before="0" w:after="0"/>
                    <w:jc w:val="left"/>
                    <w:rPr>
                      <w:b/>
                      <w:noProof/>
                    </w:rPr>
                  </w:pPr>
                  <w:r w:rsidRPr="008861A7">
                    <w:rPr>
                      <w:noProof/>
                    </w:rPr>
                    <w:t>Carbon footprint</w:t>
                  </w:r>
                </w:p>
              </w:tc>
              <w:tc>
                <w:tcPr>
                  <w:tcW w:w="3402" w:type="dxa"/>
                  <w:tcBorders>
                    <w:top w:val="single" w:sz="4" w:space="0" w:color="auto"/>
                    <w:left w:val="single" w:sz="4" w:space="0" w:color="auto"/>
                    <w:bottom w:val="single" w:sz="4" w:space="0" w:color="auto"/>
                    <w:right w:val="single" w:sz="4" w:space="0" w:color="auto"/>
                  </w:tcBorders>
                  <w:hideMark/>
                </w:tcPr>
                <w:p w14:paraId="03EB2BE3" w14:textId="77777777" w:rsidR="001D3001" w:rsidRPr="008861A7" w:rsidRDefault="001D3001" w:rsidP="001D3001">
                  <w:pPr>
                    <w:spacing w:after="0"/>
                    <w:rPr>
                      <w:noProof/>
                    </w:rPr>
                  </w:pPr>
                  <w:r w:rsidRPr="008861A7">
                    <w:rPr>
                      <w:noProof/>
                    </w:rPr>
                    <w:t>Carbon footprint</w:t>
                  </w:r>
                </w:p>
              </w:tc>
              <w:tc>
                <w:tcPr>
                  <w:tcW w:w="1869" w:type="dxa"/>
                  <w:tcBorders>
                    <w:top w:val="single" w:sz="4" w:space="0" w:color="auto"/>
                    <w:left w:val="single" w:sz="4" w:space="0" w:color="auto"/>
                    <w:bottom w:val="single" w:sz="4" w:space="0" w:color="auto"/>
                    <w:right w:val="single" w:sz="4" w:space="0" w:color="auto"/>
                  </w:tcBorders>
                </w:tcPr>
                <w:p w14:paraId="6FFF4C73"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024BF54"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0CCCD48F"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290319AA" w14:textId="77777777" w:rsidR="001D3001" w:rsidRPr="008861A7" w:rsidRDefault="001D3001" w:rsidP="00477C34">
                  <w:pPr>
                    <w:spacing w:after="0"/>
                    <w:rPr>
                      <w:noProof/>
                    </w:rPr>
                  </w:pPr>
                </w:p>
              </w:tc>
            </w:tr>
            <w:tr w:rsidR="001D3001" w:rsidRPr="008861A7" w14:paraId="0ACF3C77"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4812779F"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hideMark/>
                </w:tcPr>
                <w:p w14:paraId="0783EEE6" w14:textId="77777777" w:rsidR="001D3001" w:rsidRPr="008861A7" w:rsidRDefault="001D3001" w:rsidP="006F731C">
                  <w:pPr>
                    <w:numPr>
                      <w:ilvl w:val="0"/>
                      <w:numId w:val="4"/>
                    </w:numPr>
                    <w:spacing w:before="0" w:after="0"/>
                    <w:jc w:val="left"/>
                    <w:rPr>
                      <w:noProof/>
                    </w:rPr>
                  </w:pPr>
                  <w:r w:rsidRPr="008861A7">
                    <w:rPr>
                      <w:noProof/>
                    </w:rPr>
                    <w:t>GHG intensity of investee companies</w:t>
                  </w:r>
                </w:p>
              </w:tc>
              <w:tc>
                <w:tcPr>
                  <w:tcW w:w="3402" w:type="dxa"/>
                  <w:tcBorders>
                    <w:top w:val="single" w:sz="4" w:space="0" w:color="auto"/>
                    <w:left w:val="single" w:sz="4" w:space="0" w:color="auto"/>
                    <w:bottom w:val="single" w:sz="4" w:space="0" w:color="auto"/>
                    <w:right w:val="single" w:sz="4" w:space="0" w:color="auto"/>
                  </w:tcBorders>
                  <w:hideMark/>
                </w:tcPr>
                <w:p w14:paraId="6B70A2C0" w14:textId="77777777" w:rsidR="001D3001" w:rsidRPr="008861A7" w:rsidRDefault="001D3001" w:rsidP="00477C34">
                  <w:pPr>
                    <w:spacing w:after="0"/>
                    <w:rPr>
                      <w:noProof/>
                    </w:rPr>
                  </w:pPr>
                  <w:r w:rsidRPr="008861A7">
                    <w:rPr>
                      <w:noProof/>
                    </w:rPr>
                    <w:t>GHG intensity of investee companies</w:t>
                  </w:r>
                </w:p>
              </w:tc>
              <w:tc>
                <w:tcPr>
                  <w:tcW w:w="1869" w:type="dxa"/>
                  <w:tcBorders>
                    <w:top w:val="single" w:sz="4" w:space="0" w:color="auto"/>
                    <w:left w:val="single" w:sz="4" w:space="0" w:color="auto"/>
                    <w:bottom w:val="single" w:sz="4" w:space="0" w:color="auto"/>
                    <w:right w:val="single" w:sz="4" w:space="0" w:color="auto"/>
                  </w:tcBorders>
                </w:tcPr>
                <w:p w14:paraId="5B209E9A"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0D7167B8"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52A4B54A"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13CBC19C" w14:textId="77777777" w:rsidR="001D3001" w:rsidRPr="008861A7" w:rsidRDefault="001D3001" w:rsidP="00477C34">
                  <w:pPr>
                    <w:spacing w:after="0"/>
                    <w:rPr>
                      <w:noProof/>
                    </w:rPr>
                  </w:pPr>
                </w:p>
              </w:tc>
            </w:tr>
            <w:tr w:rsidR="001D3001" w:rsidRPr="008861A7" w14:paraId="1C8A1503"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4B4F5CF3"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hideMark/>
                </w:tcPr>
                <w:p w14:paraId="3EADA733" w14:textId="77777777" w:rsidR="001D3001" w:rsidRPr="008861A7" w:rsidRDefault="001D3001" w:rsidP="006F731C">
                  <w:pPr>
                    <w:numPr>
                      <w:ilvl w:val="0"/>
                      <w:numId w:val="4"/>
                    </w:numPr>
                    <w:spacing w:before="0" w:after="0"/>
                    <w:jc w:val="left"/>
                    <w:rPr>
                      <w:noProof/>
                    </w:rPr>
                  </w:pPr>
                  <w:r w:rsidRPr="008861A7">
                    <w:rPr>
                      <w:bCs/>
                      <w:noProof/>
                    </w:rPr>
                    <w:t xml:space="preserve">Exposure to companies active in the fossil fuel sector </w:t>
                  </w:r>
                </w:p>
              </w:tc>
              <w:tc>
                <w:tcPr>
                  <w:tcW w:w="3402" w:type="dxa"/>
                  <w:tcBorders>
                    <w:top w:val="single" w:sz="4" w:space="0" w:color="auto"/>
                    <w:left w:val="single" w:sz="4" w:space="0" w:color="auto"/>
                    <w:bottom w:val="single" w:sz="4" w:space="0" w:color="auto"/>
                    <w:right w:val="single" w:sz="4" w:space="0" w:color="auto"/>
                  </w:tcBorders>
                  <w:hideMark/>
                </w:tcPr>
                <w:p w14:paraId="26F42FF6" w14:textId="77777777" w:rsidR="001D3001" w:rsidRPr="008861A7" w:rsidRDefault="001D3001" w:rsidP="00477C34">
                  <w:pPr>
                    <w:spacing w:after="0"/>
                    <w:rPr>
                      <w:noProof/>
                    </w:rPr>
                  </w:pPr>
                  <w:r w:rsidRPr="008861A7">
                    <w:rPr>
                      <w:noProof/>
                    </w:rPr>
                    <w:t xml:space="preserve">Share of investments in companies active in the fossil fuel sector </w:t>
                  </w:r>
                </w:p>
              </w:tc>
              <w:tc>
                <w:tcPr>
                  <w:tcW w:w="1869" w:type="dxa"/>
                  <w:tcBorders>
                    <w:top w:val="single" w:sz="4" w:space="0" w:color="auto"/>
                    <w:left w:val="single" w:sz="4" w:space="0" w:color="auto"/>
                    <w:bottom w:val="single" w:sz="4" w:space="0" w:color="auto"/>
                    <w:right w:val="single" w:sz="4" w:space="0" w:color="auto"/>
                  </w:tcBorders>
                </w:tcPr>
                <w:p w14:paraId="00E0C172"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4969D40E"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7BF90C47"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1C58FA61" w14:textId="77777777" w:rsidR="001D3001" w:rsidRPr="008861A7" w:rsidRDefault="001D3001" w:rsidP="00477C34">
                  <w:pPr>
                    <w:spacing w:after="0"/>
                    <w:rPr>
                      <w:noProof/>
                    </w:rPr>
                  </w:pPr>
                </w:p>
              </w:tc>
            </w:tr>
            <w:tr w:rsidR="001D3001" w:rsidRPr="008861A7" w14:paraId="6CF0FE9B" w14:textId="77777777" w:rsidTr="00E72E90">
              <w:tc>
                <w:tcPr>
                  <w:tcW w:w="0" w:type="auto"/>
                  <w:vMerge/>
                  <w:tcBorders>
                    <w:left w:val="single" w:sz="4" w:space="0" w:color="auto"/>
                    <w:bottom w:val="single" w:sz="4" w:space="0" w:color="auto"/>
                    <w:right w:val="single" w:sz="4" w:space="0" w:color="auto"/>
                  </w:tcBorders>
                  <w:vAlign w:val="center"/>
                </w:tcPr>
                <w:p w14:paraId="7854C949"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tcPr>
                <w:p w14:paraId="67BAF45F" w14:textId="77777777" w:rsidR="001D3001" w:rsidRPr="008861A7" w:rsidRDefault="001D3001" w:rsidP="006F731C">
                  <w:pPr>
                    <w:numPr>
                      <w:ilvl w:val="0"/>
                      <w:numId w:val="4"/>
                    </w:numPr>
                    <w:spacing w:before="0" w:after="0"/>
                    <w:jc w:val="left"/>
                    <w:rPr>
                      <w:bCs/>
                      <w:noProof/>
                    </w:rPr>
                  </w:pPr>
                  <w:r w:rsidRPr="008861A7">
                    <w:rPr>
                      <w:noProof/>
                    </w:rPr>
                    <w:t>Share of non-renewable energy consumption and production</w:t>
                  </w:r>
                </w:p>
              </w:tc>
              <w:tc>
                <w:tcPr>
                  <w:tcW w:w="3402" w:type="dxa"/>
                  <w:tcBorders>
                    <w:top w:val="single" w:sz="4" w:space="0" w:color="auto"/>
                    <w:left w:val="single" w:sz="4" w:space="0" w:color="auto"/>
                    <w:bottom w:val="single" w:sz="4" w:space="0" w:color="auto"/>
                    <w:right w:val="single" w:sz="4" w:space="0" w:color="auto"/>
                  </w:tcBorders>
                </w:tcPr>
                <w:p w14:paraId="0A3DCE49" w14:textId="27D213AD" w:rsidR="001D3001" w:rsidRPr="008861A7" w:rsidRDefault="001D3001" w:rsidP="001D3001">
                  <w:pPr>
                    <w:spacing w:after="0"/>
                    <w:rPr>
                      <w:noProof/>
                    </w:rPr>
                  </w:pPr>
                  <w:r w:rsidRPr="008861A7">
                    <w:rPr>
                      <w:noProof/>
                    </w:rPr>
                    <w:t>Share of non-renewable energy consumption and non-renewable energy production of investee companies from non-renewable energy sources compared to renewable energy sources, expressed as a percentage</w:t>
                  </w:r>
                  <w:r w:rsidR="003B61D7">
                    <w:rPr>
                      <w:noProof/>
                    </w:rPr>
                    <w:t xml:space="preserve"> </w:t>
                  </w:r>
                  <w:r w:rsidR="003B61D7" w:rsidRPr="003B61D7">
                    <w:rPr>
                      <w:noProof/>
                    </w:rPr>
                    <w:t>of total energy sources</w:t>
                  </w:r>
                </w:p>
              </w:tc>
              <w:tc>
                <w:tcPr>
                  <w:tcW w:w="1869" w:type="dxa"/>
                  <w:tcBorders>
                    <w:top w:val="single" w:sz="4" w:space="0" w:color="auto"/>
                    <w:left w:val="single" w:sz="4" w:space="0" w:color="auto"/>
                    <w:bottom w:val="single" w:sz="4" w:space="0" w:color="auto"/>
                    <w:right w:val="single" w:sz="4" w:space="0" w:color="auto"/>
                  </w:tcBorders>
                </w:tcPr>
                <w:p w14:paraId="001F7DF8"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53305674"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0071854D"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1E137EB7" w14:textId="77777777" w:rsidR="001D3001" w:rsidRPr="008861A7" w:rsidRDefault="001D3001" w:rsidP="00477C34">
                  <w:pPr>
                    <w:spacing w:after="0"/>
                    <w:rPr>
                      <w:noProof/>
                    </w:rPr>
                  </w:pPr>
                </w:p>
              </w:tc>
            </w:tr>
            <w:tr w:rsidR="001D3001" w:rsidRPr="008861A7" w14:paraId="630E01D3" w14:textId="77777777" w:rsidTr="00E72E90">
              <w:tc>
                <w:tcPr>
                  <w:tcW w:w="0" w:type="auto"/>
                  <w:vMerge/>
                  <w:tcBorders>
                    <w:left w:val="single" w:sz="4" w:space="0" w:color="auto"/>
                    <w:bottom w:val="single" w:sz="4" w:space="0" w:color="auto"/>
                    <w:right w:val="single" w:sz="4" w:space="0" w:color="auto"/>
                  </w:tcBorders>
                  <w:vAlign w:val="center"/>
                  <w:hideMark/>
                </w:tcPr>
                <w:p w14:paraId="74647AA0"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hideMark/>
                </w:tcPr>
                <w:p w14:paraId="4DC14D87" w14:textId="77777777" w:rsidR="001D3001" w:rsidRPr="008861A7" w:rsidRDefault="001D3001" w:rsidP="006F731C">
                  <w:pPr>
                    <w:numPr>
                      <w:ilvl w:val="0"/>
                      <w:numId w:val="4"/>
                    </w:numPr>
                    <w:spacing w:before="0" w:after="0"/>
                    <w:jc w:val="left"/>
                    <w:rPr>
                      <w:bCs/>
                      <w:noProof/>
                    </w:rPr>
                  </w:pPr>
                  <w:r w:rsidRPr="008861A7">
                    <w:rPr>
                      <w:bCs/>
                      <w:noProof/>
                    </w:rPr>
                    <w:t xml:space="preserve">Energy consumption intensity per high impact climate sector </w:t>
                  </w:r>
                </w:p>
              </w:tc>
              <w:tc>
                <w:tcPr>
                  <w:tcW w:w="3402" w:type="dxa"/>
                  <w:tcBorders>
                    <w:top w:val="single" w:sz="4" w:space="0" w:color="auto"/>
                    <w:left w:val="single" w:sz="4" w:space="0" w:color="auto"/>
                    <w:bottom w:val="single" w:sz="4" w:space="0" w:color="auto"/>
                    <w:right w:val="single" w:sz="4" w:space="0" w:color="auto"/>
                  </w:tcBorders>
                  <w:hideMark/>
                </w:tcPr>
                <w:p w14:paraId="0BC80232" w14:textId="77777777" w:rsidR="001D3001" w:rsidRPr="008861A7" w:rsidRDefault="001D3001" w:rsidP="00477C34">
                  <w:pPr>
                    <w:spacing w:after="0"/>
                    <w:rPr>
                      <w:noProof/>
                    </w:rPr>
                  </w:pPr>
                  <w:r w:rsidRPr="008861A7">
                    <w:rPr>
                      <w:noProof/>
                    </w:rPr>
                    <w:t>Energy consumption in GWh per million EUR of revenue of investee companies, per high impact climate sector</w:t>
                  </w:r>
                </w:p>
              </w:tc>
              <w:tc>
                <w:tcPr>
                  <w:tcW w:w="1869" w:type="dxa"/>
                  <w:tcBorders>
                    <w:top w:val="single" w:sz="4" w:space="0" w:color="auto"/>
                    <w:left w:val="single" w:sz="4" w:space="0" w:color="auto"/>
                    <w:bottom w:val="single" w:sz="4" w:space="0" w:color="auto"/>
                    <w:right w:val="single" w:sz="4" w:space="0" w:color="auto"/>
                  </w:tcBorders>
                </w:tcPr>
                <w:p w14:paraId="1308FCF4"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5ADCC660"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62B33161"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0F7A54A5" w14:textId="77777777" w:rsidR="001D3001" w:rsidRPr="008861A7" w:rsidRDefault="001D3001" w:rsidP="00477C34">
                  <w:pPr>
                    <w:spacing w:after="0"/>
                    <w:rPr>
                      <w:noProof/>
                    </w:rPr>
                  </w:pPr>
                </w:p>
              </w:tc>
            </w:tr>
            <w:tr w:rsidR="001D3001" w:rsidRPr="008861A7" w14:paraId="6EB99817" w14:textId="77777777" w:rsidTr="00E72E90">
              <w:tc>
                <w:tcPr>
                  <w:tcW w:w="1531" w:type="dxa"/>
                  <w:tcBorders>
                    <w:top w:val="single" w:sz="4" w:space="0" w:color="auto"/>
                    <w:left w:val="single" w:sz="4" w:space="0" w:color="auto"/>
                    <w:bottom w:val="single" w:sz="4" w:space="0" w:color="auto"/>
                    <w:right w:val="single" w:sz="4" w:space="0" w:color="auto"/>
                  </w:tcBorders>
                  <w:hideMark/>
                </w:tcPr>
                <w:p w14:paraId="2B68EB39" w14:textId="77777777" w:rsidR="001D3001" w:rsidRPr="008861A7" w:rsidRDefault="001D3001" w:rsidP="00477C34">
                  <w:pPr>
                    <w:spacing w:after="0"/>
                    <w:rPr>
                      <w:noProof/>
                    </w:rPr>
                  </w:pPr>
                  <w:bookmarkStart w:id="7" w:name="_Hlk56012434"/>
                  <w:r w:rsidRPr="008861A7">
                    <w:rPr>
                      <w:noProof/>
                    </w:rPr>
                    <w:t>Biodiversity</w:t>
                  </w:r>
                </w:p>
              </w:tc>
              <w:tc>
                <w:tcPr>
                  <w:tcW w:w="2597" w:type="dxa"/>
                  <w:tcBorders>
                    <w:top w:val="single" w:sz="4" w:space="0" w:color="auto"/>
                    <w:left w:val="single" w:sz="4" w:space="0" w:color="auto"/>
                    <w:bottom w:val="single" w:sz="4" w:space="0" w:color="auto"/>
                    <w:right w:val="single" w:sz="4" w:space="0" w:color="auto"/>
                  </w:tcBorders>
                  <w:hideMark/>
                </w:tcPr>
                <w:p w14:paraId="7314AEF0" w14:textId="77777777" w:rsidR="001D3001" w:rsidRPr="008861A7" w:rsidRDefault="001D3001" w:rsidP="006F731C">
                  <w:pPr>
                    <w:numPr>
                      <w:ilvl w:val="0"/>
                      <w:numId w:val="4"/>
                    </w:numPr>
                    <w:spacing w:before="0" w:after="0"/>
                    <w:jc w:val="left"/>
                    <w:rPr>
                      <w:bCs/>
                      <w:noProof/>
                    </w:rPr>
                  </w:pPr>
                  <w:r w:rsidRPr="008861A7">
                    <w:rPr>
                      <w:noProof/>
                    </w:rPr>
                    <w:t>Activities negatively affecting biodiversity-sensitive areas</w:t>
                  </w:r>
                </w:p>
                <w:p w14:paraId="7B882718" w14:textId="77777777" w:rsidR="001D3001" w:rsidRPr="008861A7" w:rsidRDefault="001D3001" w:rsidP="00477C34">
                  <w:pPr>
                    <w:spacing w:after="0"/>
                    <w:rPr>
                      <w:bCs/>
                      <w:noProof/>
                    </w:rPr>
                  </w:pPr>
                </w:p>
              </w:tc>
              <w:tc>
                <w:tcPr>
                  <w:tcW w:w="3402" w:type="dxa"/>
                  <w:tcBorders>
                    <w:top w:val="single" w:sz="4" w:space="0" w:color="auto"/>
                    <w:left w:val="single" w:sz="4" w:space="0" w:color="auto"/>
                    <w:bottom w:val="single" w:sz="4" w:space="0" w:color="auto"/>
                    <w:right w:val="single" w:sz="4" w:space="0" w:color="auto"/>
                  </w:tcBorders>
                </w:tcPr>
                <w:p w14:paraId="3150B1F1" w14:textId="77777777" w:rsidR="001D3001" w:rsidRPr="008861A7" w:rsidRDefault="001D3001" w:rsidP="001D3001">
                  <w:pPr>
                    <w:spacing w:after="0"/>
                    <w:rPr>
                      <w:bCs/>
                      <w:noProof/>
                    </w:rPr>
                  </w:pPr>
                  <w:r w:rsidRPr="008861A7">
                    <w:rPr>
                      <w:bCs/>
                      <w:noProof/>
                    </w:rPr>
                    <w:t>Share of investments in investee companies with sites/operations located in or near to biodiversity-sensitive areas where activities of those investee companies negatively affect those areas</w:t>
                  </w:r>
                </w:p>
              </w:tc>
              <w:tc>
                <w:tcPr>
                  <w:tcW w:w="1869" w:type="dxa"/>
                  <w:tcBorders>
                    <w:top w:val="single" w:sz="4" w:space="0" w:color="auto"/>
                    <w:left w:val="single" w:sz="4" w:space="0" w:color="auto"/>
                    <w:bottom w:val="single" w:sz="4" w:space="0" w:color="auto"/>
                    <w:right w:val="single" w:sz="4" w:space="0" w:color="auto"/>
                  </w:tcBorders>
                </w:tcPr>
                <w:p w14:paraId="7FC72584"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15F73749"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4810A896"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42205DC1" w14:textId="77777777" w:rsidR="001D3001" w:rsidRPr="008861A7" w:rsidRDefault="001D3001" w:rsidP="00477C34">
                  <w:pPr>
                    <w:spacing w:after="0"/>
                    <w:rPr>
                      <w:noProof/>
                    </w:rPr>
                  </w:pPr>
                </w:p>
              </w:tc>
            </w:tr>
            <w:bookmarkEnd w:id="7"/>
            <w:tr w:rsidR="001D3001" w:rsidRPr="008861A7" w14:paraId="7C750F36" w14:textId="77777777" w:rsidTr="00E72E90">
              <w:tc>
                <w:tcPr>
                  <w:tcW w:w="1531" w:type="dxa"/>
                  <w:tcBorders>
                    <w:top w:val="single" w:sz="4" w:space="0" w:color="auto"/>
                    <w:left w:val="single" w:sz="4" w:space="0" w:color="auto"/>
                    <w:bottom w:val="single" w:sz="4" w:space="0" w:color="auto"/>
                    <w:right w:val="single" w:sz="4" w:space="0" w:color="auto"/>
                  </w:tcBorders>
                  <w:hideMark/>
                </w:tcPr>
                <w:p w14:paraId="610CA888" w14:textId="77777777" w:rsidR="001D3001" w:rsidRPr="008861A7" w:rsidRDefault="001D3001" w:rsidP="00477C34">
                  <w:pPr>
                    <w:spacing w:after="0"/>
                    <w:rPr>
                      <w:noProof/>
                    </w:rPr>
                  </w:pPr>
                  <w:r w:rsidRPr="008861A7">
                    <w:rPr>
                      <w:noProof/>
                    </w:rPr>
                    <w:t>Water</w:t>
                  </w:r>
                </w:p>
              </w:tc>
              <w:tc>
                <w:tcPr>
                  <w:tcW w:w="2597" w:type="dxa"/>
                  <w:tcBorders>
                    <w:top w:val="single" w:sz="4" w:space="0" w:color="auto"/>
                    <w:left w:val="single" w:sz="4" w:space="0" w:color="auto"/>
                    <w:bottom w:val="single" w:sz="4" w:space="0" w:color="auto"/>
                    <w:right w:val="single" w:sz="4" w:space="0" w:color="auto"/>
                  </w:tcBorders>
                  <w:hideMark/>
                </w:tcPr>
                <w:p w14:paraId="3DAA651D" w14:textId="77777777" w:rsidR="001D3001" w:rsidRPr="008861A7" w:rsidRDefault="001D3001" w:rsidP="006F731C">
                  <w:pPr>
                    <w:numPr>
                      <w:ilvl w:val="0"/>
                      <w:numId w:val="4"/>
                    </w:numPr>
                    <w:spacing w:before="0" w:after="0"/>
                    <w:jc w:val="left"/>
                    <w:rPr>
                      <w:bCs/>
                      <w:noProof/>
                    </w:rPr>
                  </w:pPr>
                  <w:r w:rsidRPr="008861A7">
                    <w:rPr>
                      <w:bCs/>
                      <w:noProof/>
                    </w:rPr>
                    <w:t>Emissions to water</w:t>
                  </w:r>
                </w:p>
              </w:tc>
              <w:tc>
                <w:tcPr>
                  <w:tcW w:w="3402" w:type="dxa"/>
                  <w:tcBorders>
                    <w:top w:val="single" w:sz="4" w:space="0" w:color="auto"/>
                    <w:left w:val="single" w:sz="4" w:space="0" w:color="auto"/>
                    <w:bottom w:val="single" w:sz="4" w:space="0" w:color="auto"/>
                    <w:right w:val="single" w:sz="4" w:space="0" w:color="auto"/>
                  </w:tcBorders>
                  <w:hideMark/>
                </w:tcPr>
                <w:p w14:paraId="4CF5DF1A" w14:textId="77777777" w:rsidR="001D3001" w:rsidRPr="008861A7" w:rsidRDefault="001D3001" w:rsidP="001D3001">
                  <w:pPr>
                    <w:spacing w:after="0"/>
                    <w:rPr>
                      <w:noProof/>
                    </w:rPr>
                  </w:pPr>
                  <w:r w:rsidRPr="008861A7">
                    <w:rPr>
                      <w:noProof/>
                    </w:rPr>
                    <w:t>Tonnes of emissions to water generated by investee companies per million EUR invested, expressed as a weighted average</w:t>
                  </w:r>
                </w:p>
              </w:tc>
              <w:tc>
                <w:tcPr>
                  <w:tcW w:w="1869" w:type="dxa"/>
                  <w:tcBorders>
                    <w:top w:val="single" w:sz="4" w:space="0" w:color="auto"/>
                    <w:left w:val="single" w:sz="4" w:space="0" w:color="auto"/>
                    <w:bottom w:val="single" w:sz="4" w:space="0" w:color="auto"/>
                    <w:right w:val="single" w:sz="4" w:space="0" w:color="auto"/>
                  </w:tcBorders>
                </w:tcPr>
                <w:p w14:paraId="0F7CD2EC"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42B45F7B"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1CBFD0EC"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05BE9C0B" w14:textId="77777777" w:rsidR="001D3001" w:rsidRPr="008861A7" w:rsidRDefault="001D3001" w:rsidP="00477C34">
                  <w:pPr>
                    <w:spacing w:after="0"/>
                    <w:rPr>
                      <w:noProof/>
                    </w:rPr>
                  </w:pPr>
                </w:p>
              </w:tc>
            </w:tr>
            <w:tr w:rsidR="001D3001" w:rsidRPr="008861A7" w14:paraId="5D7EFF3D" w14:textId="77777777" w:rsidTr="00E72E90">
              <w:tc>
                <w:tcPr>
                  <w:tcW w:w="1531" w:type="dxa"/>
                  <w:tcBorders>
                    <w:top w:val="single" w:sz="4" w:space="0" w:color="auto"/>
                    <w:left w:val="single" w:sz="4" w:space="0" w:color="auto"/>
                    <w:bottom w:val="single" w:sz="4" w:space="0" w:color="auto"/>
                    <w:right w:val="single" w:sz="4" w:space="0" w:color="auto"/>
                  </w:tcBorders>
                  <w:hideMark/>
                </w:tcPr>
                <w:p w14:paraId="31D573D1" w14:textId="77777777" w:rsidR="001D3001" w:rsidRPr="008861A7" w:rsidRDefault="001D3001" w:rsidP="00477C34">
                  <w:pPr>
                    <w:spacing w:after="0"/>
                    <w:rPr>
                      <w:noProof/>
                    </w:rPr>
                  </w:pPr>
                  <w:bookmarkStart w:id="8" w:name="_Hlk56012531"/>
                  <w:r w:rsidRPr="008861A7">
                    <w:rPr>
                      <w:noProof/>
                    </w:rPr>
                    <w:t>Waste</w:t>
                  </w:r>
                </w:p>
              </w:tc>
              <w:tc>
                <w:tcPr>
                  <w:tcW w:w="2597" w:type="dxa"/>
                  <w:tcBorders>
                    <w:top w:val="single" w:sz="4" w:space="0" w:color="auto"/>
                    <w:left w:val="single" w:sz="4" w:space="0" w:color="auto"/>
                    <w:bottom w:val="single" w:sz="4" w:space="0" w:color="auto"/>
                    <w:right w:val="single" w:sz="4" w:space="0" w:color="auto"/>
                  </w:tcBorders>
                  <w:hideMark/>
                </w:tcPr>
                <w:p w14:paraId="64C8F3A9" w14:textId="77777777" w:rsidR="001D3001" w:rsidRPr="008861A7" w:rsidRDefault="001D3001" w:rsidP="006F731C">
                  <w:pPr>
                    <w:numPr>
                      <w:ilvl w:val="0"/>
                      <w:numId w:val="4"/>
                    </w:numPr>
                    <w:spacing w:before="0" w:after="0"/>
                    <w:jc w:val="left"/>
                    <w:rPr>
                      <w:bCs/>
                      <w:noProof/>
                    </w:rPr>
                  </w:pPr>
                  <w:r w:rsidRPr="008861A7">
                    <w:rPr>
                      <w:bCs/>
                      <w:noProof/>
                    </w:rPr>
                    <w:t>Hazardous waste</w:t>
                  </w:r>
                  <w:r w:rsidR="0095628F" w:rsidRPr="008861A7">
                    <w:rPr>
                      <w:bCs/>
                      <w:noProof/>
                    </w:rPr>
                    <w:t xml:space="preserve"> and radioactive waste</w:t>
                  </w:r>
                  <w:r w:rsidRPr="008861A7">
                    <w:rPr>
                      <w:bCs/>
                      <w:noProof/>
                    </w:rPr>
                    <w:t xml:space="preserve"> ratio</w:t>
                  </w:r>
                </w:p>
              </w:tc>
              <w:tc>
                <w:tcPr>
                  <w:tcW w:w="3402" w:type="dxa"/>
                  <w:tcBorders>
                    <w:top w:val="single" w:sz="4" w:space="0" w:color="auto"/>
                    <w:left w:val="single" w:sz="4" w:space="0" w:color="auto"/>
                    <w:bottom w:val="single" w:sz="4" w:space="0" w:color="auto"/>
                    <w:right w:val="single" w:sz="4" w:space="0" w:color="auto"/>
                  </w:tcBorders>
                  <w:hideMark/>
                </w:tcPr>
                <w:p w14:paraId="0C389954" w14:textId="77777777" w:rsidR="001D3001" w:rsidRPr="008861A7" w:rsidRDefault="001D3001" w:rsidP="001D3001">
                  <w:pPr>
                    <w:spacing w:after="0"/>
                    <w:rPr>
                      <w:noProof/>
                    </w:rPr>
                  </w:pPr>
                  <w:r w:rsidRPr="008861A7">
                    <w:rPr>
                      <w:noProof/>
                    </w:rPr>
                    <w:t>Tonnes of hazardous waste</w:t>
                  </w:r>
                  <w:r w:rsidR="0095628F" w:rsidRPr="008861A7">
                    <w:rPr>
                      <w:bCs/>
                      <w:noProof/>
                    </w:rPr>
                    <w:t xml:space="preserve"> and radioactive waste</w:t>
                  </w:r>
                  <w:r w:rsidRPr="008861A7">
                    <w:rPr>
                      <w:noProof/>
                    </w:rPr>
                    <w:t xml:space="preserve"> generated by investee companies per million EUR invested, expressed as a weighted average</w:t>
                  </w:r>
                </w:p>
              </w:tc>
              <w:tc>
                <w:tcPr>
                  <w:tcW w:w="1869" w:type="dxa"/>
                  <w:tcBorders>
                    <w:top w:val="single" w:sz="4" w:space="0" w:color="auto"/>
                    <w:left w:val="single" w:sz="4" w:space="0" w:color="auto"/>
                    <w:bottom w:val="single" w:sz="4" w:space="0" w:color="auto"/>
                    <w:right w:val="single" w:sz="4" w:space="0" w:color="auto"/>
                  </w:tcBorders>
                </w:tcPr>
                <w:p w14:paraId="725ED373"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AE2DBDD"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2C197525"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67AFC755" w14:textId="77777777" w:rsidR="001D3001" w:rsidRPr="008861A7" w:rsidRDefault="001D3001" w:rsidP="00477C34">
                  <w:pPr>
                    <w:spacing w:after="0"/>
                    <w:rPr>
                      <w:noProof/>
                    </w:rPr>
                  </w:pPr>
                </w:p>
              </w:tc>
            </w:tr>
            <w:tr w:rsidR="001D3001" w:rsidRPr="008861A7" w14:paraId="0849F52D" w14:textId="77777777" w:rsidTr="00E72E90">
              <w:tc>
                <w:tcPr>
                  <w:tcW w:w="14042" w:type="dxa"/>
                  <w:gridSpan w:val="7"/>
                  <w:tcBorders>
                    <w:top w:val="single" w:sz="4" w:space="0" w:color="auto"/>
                    <w:left w:val="single" w:sz="4" w:space="0" w:color="auto"/>
                    <w:bottom w:val="single" w:sz="4" w:space="0" w:color="auto"/>
                    <w:right w:val="single" w:sz="4" w:space="0" w:color="auto"/>
                  </w:tcBorders>
                  <w:hideMark/>
                </w:tcPr>
                <w:p w14:paraId="6C12AE8F" w14:textId="77777777" w:rsidR="001D3001" w:rsidRPr="008861A7" w:rsidRDefault="001D3001" w:rsidP="00477C34">
                  <w:pPr>
                    <w:spacing w:after="0"/>
                    <w:jc w:val="center"/>
                    <w:rPr>
                      <w:b/>
                      <w:noProof/>
                    </w:rPr>
                  </w:pPr>
                  <w:bookmarkStart w:id="9" w:name="_Hlk56012664"/>
                  <w:bookmarkStart w:id="10" w:name="_Hlk56012597"/>
                  <w:bookmarkEnd w:id="8"/>
                </w:p>
                <w:p w14:paraId="23BF9744" w14:textId="77777777" w:rsidR="001D3001" w:rsidRPr="008861A7" w:rsidRDefault="00010690" w:rsidP="00477C34">
                  <w:pPr>
                    <w:spacing w:after="0"/>
                    <w:jc w:val="center"/>
                    <w:rPr>
                      <w:b/>
                      <w:noProof/>
                    </w:rPr>
                  </w:pPr>
                  <w:r w:rsidRPr="008861A7">
                    <w:rPr>
                      <w:b/>
                      <w:noProof/>
                    </w:rPr>
                    <w:t xml:space="preserve">INDICATORS FOR </w:t>
                  </w:r>
                  <w:r w:rsidR="001D3001" w:rsidRPr="008861A7">
                    <w:rPr>
                      <w:b/>
                      <w:noProof/>
                    </w:rPr>
                    <w:t>SOCIAL AND EMPLOYEE, RESPECT FOR HUMAN RIGHTS, ANTI-CORRUPTION AND ANTI-BRIBERY MATTERS</w:t>
                  </w:r>
                </w:p>
                <w:p w14:paraId="081AD42A" w14:textId="77777777" w:rsidR="001D3001" w:rsidRPr="008861A7" w:rsidRDefault="001D3001" w:rsidP="00477C34">
                  <w:pPr>
                    <w:spacing w:after="0"/>
                    <w:rPr>
                      <w:b/>
                      <w:noProof/>
                    </w:rPr>
                  </w:pPr>
                </w:p>
              </w:tc>
            </w:tr>
            <w:bookmarkEnd w:id="9"/>
            <w:bookmarkEnd w:id="10"/>
            <w:tr w:rsidR="001D3001" w:rsidRPr="008861A7" w14:paraId="588DB86C" w14:textId="77777777" w:rsidTr="00E72E90">
              <w:tc>
                <w:tcPr>
                  <w:tcW w:w="1531" w:type="dxa"/>
                  <w:vMerge w:val="restart"/>
                  <w:tcBorders>
                    <w:top w:val="single" w:sz="4" w:space="0" w:color="auto"/>
                    <w:left w:val="single" w:sz="4" w:space="0" w:color="auto"/>
                    <w:right w:val="single" w:sz="4" w:space="0" w:color="auto"/>
                  </w:tcBorders>
                  <w:shd w:val="clear" w:color="auto" w:fill="auto"/>
                </w:tcPr>
                <w:p w14:paraId="184F6F61" w14:textId="77777777" w:rsidR="001D3001" w:rsidRPr="008861A7" w:rsidRDefault="001D3001" w:rsidP="00477C34">
                  <w:pPr>
                    <w:spacing w:after="0"/>
                    <w:rPr>
                      <w:noProof/>
                    </w:rPr>
                  </w:pPr>
                  <w:r w:rsidRPr="008861A7">
                    <w:rPr>
                      <w:noProof/>
                    </w:rPr>
                    <w:t>Social and employee matters</w:t>
                  </w:r>
                </w:p>
              </w:tc>
              <w:tc>
                <w:tcPr>
                  <w:tcW w:w="2597" w:type="dxa"/>
                  <w:tcBorders>
                    <w:top w:val="single" w:sz="4" w:space="0" w:color="auto"/>
                    <w:left w:val="single" w:sz="4" w:space="0" w:color="auto"/>
                    <w:bottom w:val="single" w:sz="4" w:space="0" w:color="auto"/>
                    <w:right w:val="single" w:sz="4" w:space="0" w:color="auto"/>
                  </w:tcBorders>
                </w:tcPr>
                <w:p w14:paraId="3A70A046" w14:textId="77777777" w:rsidR="001D3001" w:rsidRPr="008861A7" w:rsidRDefault="001D3001" w:rsidP="006F731C">
                  <w:pPr>
                    <w:numPr>
                      <w:ilvl w:val="0"/>
                      <w:numId w:val="4"/>
                    </w:numPr>
                    <w:spacing w:before="0" w:after="0"/>
                    <w:jc w:val="left"/>
                    <w:rPr>
                      <w:noProof/>
                      <w:color w:val="000000"/>
                    </w:rPr>
                  </w:pPr>
                  <w:r w:rsidRPr="008861A7">
                    <w:rPr>
                      <w:noProof/>
                      <w:color w:val="000000"/>
                    </w:rPr>
                    <w:t xml:space="preserve">Violations of UN Global Compact principles and </w:t>
                  </w:r>
                  <w:r w:rsidRPr="008861A7">
                    <w:rPr>
                      <w:bCs/>
                      <w:noProof/>
                    </w:rPr>
                    <w:t>Organisation for Economic Cooperation and Development (</w:t>
                  </w:r>
                  <w:r w:rsidRPr="008861A7">
                    <w:rPr>
                      <w:noProof/>
                      <w:color w:val="000000"/>
                    </w:rPr>
                    <w:t xml:space="preserve">OECD) Guidelines for Multinational Enterprises </w:t>
                  </w:r>
                </w:p>
                <w:p w14:paraId="0DC17493" w14:textId="77777777" w:rsidR="001D3001" w:rsidRPr="008861A7" w:rsidRDefault="001D3001" w:rsidP="00477C34">
                  <w:pPr>
                    <w:spacing w:after="0"/>
                    <w:ind w:left="720"/>
                    <w:rPr>
                      <w:noProof/>
                      <w:color w:val="000000"/>
                    </w:rPr>
                  </w:pPr>
                </w:p>
              </w:tc>
              <w:tc>
                <w:tcPr>
                  <w:tcW w:w="3402" w:type="dxa"/>
                  <w:tcBorders>
                    <w:top w:val="single" w:sz="4" w:space="0" w:color="auto"/>
                    <w:left w:val="single" w:sz="4" w:space="0" w:color="auto"/>
                    <w:bottom w:val="single" w:sz="4" w:space="0" w:color="auto"/>
                    <w:right w:val="single" w:sz="4" w:space="0" w:color="auto"/>
                  </w:tcBorders>
                </w:tcPr>
                <w:p w14:paraId="51A1E865" w14:textId="77777777" w:rsidR="001D3001" w:rsidRPr="008861A7" w:rsidDel="004A7303" w:rsidRDefault="001D3001" w:rsidP="00477C34">
                  <w:pPr>
                    <w:spacing w:after="0"/>
                    <w:rPr>
                      <w:noProof/>
                    </w:rPr>
                  </w:pPr>
                  <w:r w:rsidRPr="008861A7">
                    <w:rPr>
                      <w:noProof/>
                      <w:color w:val="000000"/>
                    </w:rPr>
                    <w:t>Share of investments in investee companies that have been involved in violations of the UNGC principles or OECD Guidelines for Multinational Enterprises</w:t>
                  </w:r>
                </w:p>
              </w:tc>
              <w:tc>
                <w:tcPr>
                  <w:tcW w:w="1869" w:type="dxa"/>
                  <w:tcBorders>
                    <w:top w:val="single" w:sz="4" w:space="0" w:color="auto"/>
                    <w:left w:val="single" w:sz="4" w:space="0" w:color="auto"/>
                    <w:bottom w:val="single" w:sz="4" w:space="0" w:color="auto"/>
                    <w:right w:val="single" w:sz="4" w:space="0" w:color="auto"/>
                  </w:tcBorders>
                </w:tcPr>
                <w:p w14:paraId="4B5D3EFC"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534630A6"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46C527BF"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1492A341" w14:textId="77777777" w:rsidR="001D3001" w:rsidRPr="008861A7" w:rsidRDefault="001D3001" w:rsidP="00477C34">
                  <w:pPr>
                    <w:spacing w:after="0"/>
                    <w:rPr>
                      <w:noProof/>
                    </w:rPr>
                  </w:pPr>
                </w:p>
              </w:tc>
            </w:tr>
            <w:tr w:rsidR="001D3001" w:rsidRPr="008861A7" w14:paraId="1D0F92D1" w14:textId="77777777" w:rsidTr="00E72E90">
              <w:tc>
                <w:tcPr>
                  <w:tcW w:w="1531" w:type="dxa"/>
                  <w:vMerge/>
                  <w:tcBorders>
                    <w:left w:val="single" w:sz="4" w:space="0" w:color="auto"/>
                    <w:right w:val="single" w:sz="4" w:space="0" w:color="auto"/>
                  </w:tcBorders>
                  <w:hideMark/>
                </w:tcPr>
                <w:p w14:paraId="4FE8EFD5" w14:textId="77777777" w:rsidR="001D3001" w:rsidRPr="008861A7" w:rsidRDefault="001D3001" w:rsidP="00477C34">
                  <w:pPr>
                    <w:spacing w:after="0"/>
                    <w:rPr>
                      <w:noProof/>
                    </w:rPr>
                  </w:pPr>
                  <w:bookmarkStart w:id="11" w:name="_Hlk56012699"/>
                </w:p>
              </w:tc>
              <w:tc>
                <w:tcPr>
                  <w:tcW w:w="2597" w:type="dxa"/>
                  <w:tcBorders>
                    <w:top w:val="single" w:sz="4" w:space="0" w:color="auto"/>
                    <w:left w:val="single" w:sz="4" w:space="0" w:color="auto"/>
                    <w:bottom w:val="single" w:sz="4" w:space="0" w:color="auto"/>
                    <w:right w:val="single" w:sz="4" w:space="0" w:color="auto"/>
                  </w:tcBorders>
                </w:tcPr>
                <w:p w14:paraId="3645AE19" w14:textId="77777777" w:rsidR="001D3001" w:rsidRPr="008861A7" w:rsidRDefault="001D3001" w:rsidP="006F731C">
                  <w:pPr>
                    <w:numPr>
                      <w:ilvl w:val="0"/>
                      <w:numId w:val="4"/>
                    </w:numPr>
                    <w:spacing w:before="0" w:after="0"/>
                    <w:jc w:val="left"/>
                    <w:rPr>
                      <w:bCs/>
                      <w:noProof/>
                    </w:rPr>
                  </w:pPr>
                  <w:r w:rsidRPr="008861A7">
                    <w:rPr>
                      <w:noProof/>
                      <w:color w:val="000000"/>
                    </w:rPr>
                    <w:t>Lack of processes and compliance mechanisms to monitor compliance with UN Global Compact principles and OECD Guidelines for Multinational Enterprises</w:t>
                  </w:r>
                </w:p>
              </w:tc>
              <w:tc>
                <w:tcPr>
                  <w:tcW w:w="3402" w:type="dxa"/>
                  <w:tcBorders>
                    <w:top w:val="single" w:sz="4" w:space="0" w:color="auto"/>
                    <w:left w:val="single" w:sz="4" w:space="0" w:color="auto"/>
                    <w:bottom w:val="single" w:sz="4" w:space="0" w:color="auto"/>
                    <w:right w:val="single" w:sz="4" w:space="0" w:color="auto"/>
                  </w:tcBorders>
                </w:tcPr>
                <w:p w14:paraId="2A34C841" w14:textId="77777777" w:rsidR="001D3001" w:rsidRPr="008861A7" w:rsidRDefault="001D3001" w:rsidP="00477C34">
                  <w:pPr>
                    <w:spacing w:after="0"/>
                    <w:rPr>
                      <w:noProof/>
                    </w:rPr>
                  </w:pPr>
                  <w:r w:rsidRPr="008861A7">
                    <w:rPr>
                      <w:noProof/>
                      <w:color w:val="000000"/>
                    </w:rPr>
                    <w:t>Share of investments in investee companies without policies to monitor compliance with the UNGC principles or OECD Guidelines for Multinational Enterprises or grievance /complaints handling mechanisms to address violations of the UNGC principles or OECD Guidelines for Multinational Enterprises</w:t>
                  </w:r>
                </w:p>
              </w:tc>
              <w:tc>
                <w:tcPr>
                  <w:tcW w:w="1869" w:type="dxa"/>
                  <w:tcBorders>
                    <w:top w:val="single" w:sz="4" w:space="0" w:color="auto"/>
                    <w:left w:val="single" w:sz="4" w:space="0" w:color="auto"/>
                    <w:bottom w:val="single" w:sz="4" w:space="0" w:color="auto"/>
                    <w:right w:val="single" w:sz="4" w:space="0" w:color="auto"/>
                  </w:tcBorders>
                </w:tcPr>
                <w:p w14:paraId="45F330EB"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1DA86FE7"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61D9C429"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7A475187" w14:textId="77777777" w:rsidR="001D3001" w:rsidRPr="008861A7" w:rsidRDefault="001D3001" w:rsidP="00477C34">
                  <w:pPr>
                    <w:spacing w:after="0"/>
                    <w:rPr>
                      <w:noProof/>
                    </w:rPr>
                  </w:pPr>
                </w:p>
              </w:tc>
            </w:tr>
            <w:tr w:rsidR="001D3001" w:rsidRPr="008861A7" w14:paraId="5B77AB39" w14:textId="77777777" w:rsidTr="00E72E90">
              <w:tc>
                <w:tcPr>
                  <w:tcW w:w="0" w:type="auto"/>
                  <w:vMerge/>
                  <w:tcBorders>
                    <w:left w:val="single" w:sz="4" w:space="0" w:color="auto"/>
                    <w:right w:val="single" w:sz="4" w:space="0" w:color="auto"/>
                  </w:tcBorders>
                  <w:vAlign w:val="center"/>
                  <w:hideMark/>
                </w:tcPr>
                <w:p w14:paraId="79802F9E" w14:textId="77777777" w:rsidR="001D3001" w:rsidRPr="008861A7" w:rsidRDefault="001D3001" w:rsidP="00477C34">
                  <w:pPr>
                    <w:spacing w:after="0"/>
                    <w:rPr>
                      <w:noProof/>
                    </w:rPr>
                  </w:pPr>
                </w:p>
              </w:tc>
              <w:tc>
                <w:tcPr>
                  <w:tcW w:w="2597" w:type="dxa"/>
                  <w:tcBorders>
                    <w:top w:val="single" w:sz="4" w:space="0" w:color="auto"/>
                    <w:left w:val="single" w:sz="4" w:space="0" w:color="auto"/>
                    <w:bottom w:val="single" w:sz="4" w:space="0" w:color="auto"/>
                    <w:right w:val="single" w:sz="4" w:space="0" w:color="auto"/>
                  </w:tcBorders>
                  <w:hideMark/>
                </w:tcPr>
                <w:p w14:paraId="45AFBC7B" w14:textId="77777777" w:rsidR="001D3001" w:rsidRPr="008861A7" w:rsidRDefault="001D3001" w:rsidP="006F731C">
                  <w:pPr>
                    <w:numPr>
                      <w:ilvl w:val="0"/>
                      <w:numId w:val="4"/>
                    </w:numPr>
                    <w:spacing w:before="0" w:after="0"/>
                    <w:jc w:val="left"/>
                    <w:rPr>
                      <w:bCs/>
                      <w:noProof/>
                    </w:rPr>
                  </w:pPr>
                  <w:r w:rsidRPr="008861A7">
                    <w:rPr>
                      <w:bCs/>
                      <w:noProof/>
                    </w:rPr>
                    <w:t>Unadjusted gender pay gap</w:t>
                  </w:r>
                </w:p>
              </w:tc>
              <w:tc>
                <w:tcPr>
                  <w:tcW w:w="3402" w:type="dxa"/>
                  <w:tcBorders>
                    <w:top w:val="single" w:sz="4" w:space="0" w:color="auto"/>
                    <w:left w:val="single" w:sz="4" w:space="0" w:color="auto"/>
                    <w:bottom w:val="single" w:sz="4" w:space="0" w:color="auto"/>
                    <w:right w:val="single" w:sz="4" w:space="0" w:color="auto"/>
                  </w:tcBorders>
                  <w:hideMark/>
                </w:tcPr>
                <w:p w14:paraId="01DE8CBC" w14:textId="77777777" w:rsidR="001D3001" w:rsidRPr="008861A7" w:rsidRDefault="001D3001" w:rsidP="00477C34">
                  <w:pPr>
                    <w:spacing w:after="0"/>
                    <w:rPr>
                      <w:noProof/>
                    </w:rPr>
                  </w:pPr>
                  <w:r w:rsidRPr="008861A7">
                    <w:rPr>
                      <w:noProof/>
                    </w:rPr>
                    <w:t>Average unadjusted gender pay gap of investee companies</w:t>
                  </w:r>
                </w:p>
              </w:tc>
              <w:tc>
                <w:tcPr>
                  <w:tcW w:w="1869" w:type="dxa"/>
                  <w:tcBorders>
                    <w:top w:val="single" w:sz="4" w:space="0" w:color="auto"/>
                    <w:left w:val="single" w:sz="4" w:space="0" w:color="auto"/>
                    <w:bottom w:val="single" w:sz="4" w:space="0" w:color="auto"/>
                    <w:right w:val="single" w:sz="4" w:space="0" w:color="auto"/>
                  </w:tcBorders>
                </w:tcPr>
                <w:p w14:paraId="51C9B7CD"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429D1375"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1F005423"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6AA87404" w14:textId="77777777" w:rsidR="001D3001" w:rsidRPr="008861A7" w:rsidRDefault="001D3001" w:rsidP="00477C34">
                  <w:pPr>
                    <w:spacing w:after="0"/>
                    <w:rPr>
                      <w:noProof/>
                    </w:rPr>
                  </w:pPr>
                </w:p>
              </w:tc>
            </w:tr>
            <w:tr w:rsidR="001D3001" w:rsidRPr="008861A7" w14:paraId="5A84D8AF" w14:textId="77777777" w:rsidTr="00E72E90">
              <w:tc>
                <w:tcPr>
                  <w:tcW w:w="0" w:type="auto"/>
                  <w:vMerge/>
                  <w:tcBorders>
                    <w:left w:val="single" w:sz="4" w:space="0" w:color="auto"/>
                    <w:right w:val="single" w:sz="4" w:space="0" w:color="auto"/>
                  </w:tcBorders>
                  <w:vAlign w:val="center"/>
                  <w:hideMark/>
                </w:tcPr>
                <w:p w14:paraId="18F08785" w14:textId="77777777" w:rsidR="001D3001" w:rsidRPr="008861A7" w:rsidRDefault="001D3001" w:rsidP="00477C34">
                  <w:pPr>
                    <w:spacing w:after="0"/>
                    <w:rPr>
                      <w:noProof/>
                    </w:rPr>
                  </w:pPr>
                  <w:bookmarkStart w:id="12" w:name="_Hlk56012743"/>
                  <w:bookmarkEnd w:id="11"/>
                </w:p>
              </w:tc>
              <w:tc>
                <w:tcPr>
                  <w:tcW w:w="2597" w:type="dxa"/>
                  <w:tcBorders>
                    <w:top w:val="single" w:sz="4" w:space="0" w:color="auto"/>
                    <w:left w:val="single" w:sz="4" w:space="0" w:color="auto"/>
                    <w:bottom w:val="single" w:sz="4" w:space="0" w:color="auto"/>
                    <w:right w:val="single" w:sz="4" w:space="0" w:color="auto"/>
                  </w:tcBorders>
                  <w:hideMark/>
                </w:tcPr>
                <w:p w14:paraId="5E8BBCAD" w14:textId="77777777" w:rsidR="001D3001" w:rsidRPr="008861A7" w:rsidRDefault="001D3001" w:rsidP="006F731C">
                  <w:pPr>
                    <w:numPr>
                      <w:ilvl w:val="0"/>
                      <w:numId w:val="4"/>
                    </w:numPr>
                    <w:spacing w:before="0" w:after="0"/>
                    <w:jc w:val="left"/>
                    <w:rPr>
                      <w:bCs/>
                      <w:noProof/>
                    </w:rPr>
                  </w:pPr>
                  <w:r w:rsidRPr="008861A7">
                    <w:rPr>
                      <w:bCs/>
                      <w:noProof/>
                    </w:rPr>
                    <w:t>Board gender diversity</w:t>
                  </w:r>
                </w:p>
              </w:tc>
              <w:tc>
                <w:tcPr>
                  <w:tcW w:w="3402" w:type="dxa"/>
                  <w:tcBorders>
                    <w:top w:val="single" w:sz="4" w:space="0" w:color="auto"/>
                    <w:left w:val="single" w:sz="4" w:space="0" w:color="auto"/>
                    <w:bottom w:val="single" w:sz="4" w:space="0" w:color="auto"/>
                    <w:right w:val="single" w:sz="4" w:space="0" w:color="auto"/>
                  </w:tcBorders>
                  <w:hideMark/>
                </w:tcPr>
                <w:p w14:paraId="31D21E01" w14:textId="343B2EDD" w:rsidR="001D3001" w:rsidRPr="008861A7" w:rsidRDefault="001D3001" w:rsidP="003B61D7">
                  <w:pPr>
                    <w:spacing w:after="0"/>
                    <w:rPr>
                      <w:noProof/>
                    </w:rPr>
                  </w:pPr>
                  <w:r w:rsidRPr="008861A7">
                    <w:rPr>
                      <w:noProof/>
                    </w:rPr>
                    <w:t>Average ratio of female to male board members in investee companies</w:t>
                  </w:r>
                  <w:r w:rsidR="003B61D7">
                    <w:rPr>
                      <w:noProof/>
                    </w:rPr>
                    <w:t>, expressed as a percentage of all board members</w:t>
                  </w:r>
                </w:p>
              </w:tc>
              <w:tc>
                <w:tcPr>
                  <w:tcW w:w="1869" w:type="dxa"/>
                  <w:tcBorders>
                    <w:top w:val="single" w:sz="4" w:space="0" w:color="auto"/>
                    <w:left w:val="single" w:sz="4" w:space="0" w:color="auto"/>
                    <w:bottom w:val="single" w:sz="4" w:space="0" w:color="auto"/>
                    <w:right w:val="single" w:sz="4" w:space="0" w:color="auto"/>
                  </w:tcBorders>
                </w:tcPr>
                <w:p w14:paraId="64D5C814"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78699E8C"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06F467A9"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6939692D" w14:textId="77777777" w:rsidR="001D3001" w:rsidRPr="008861A7" w:rsidRDefault="001D3001" w:rsidP="00477C34">
                  <w:pPr>
                    <w:spacing w:after="0"/>
                    <w:rPr>
                      <w:noProof/>
                    </w:rPr>
                  </w:pPr>
                </w:p>
              </w:tc>
            </w:tr>
            <w:tr w:rsidR="001D3001" w:rsidRPr="008861A7" w14:paraId="5E03AF6A" w14:textId="77777777" w:rsidTr="00E72E90">
              <w:tc>
                <w:tcPr>
                  <w:tcW w:w="0" w:type="auto"/>
                  <w:vMerge/>
                  <w:tcBorders>
                    <w:left w:val="single" w:sz="4" w:space="0" w:color="auto"/>
                    <w:bottom w:val="single" w:sz="4" w:space="0" w:color="auto"/>
                    <w:right w:val="single" w:sz="4" w:space="0" w:color="auto"/>
                  </w:tcBorders>
                  <w:vAlign w:val="center"/>
                  <w:hideMark/>
                </w:tcPr>
                <w:p w14:paraId="35799CA6" w14:textId="77777777" w:rsidR="001D3001" w:rsidRPr="008861A7" w:rsidRDefault="001D3001" w:rsidP="00477C34">
                  <w:pPr>
                    <w:spacing w:after="0"/>
                    <w:rPr>
                      <w:noProof/>
                    </w:rPr>
                  </w:pPr>
                  <w:bookmarkStart w:id="13" w:name="_Hlk56012847"/>
                  <w:bookmarkEnd w:id="12"/>
                </w:p>
              </w:tc>
              <w:tc>
                <w:tcPr>
                  <w:tcW w:w="2597" w:type="dxa"/>
                  <w:tcBorders>
                    <w:top w:val="single" w:sz="4" w:space="0" w:color="auto"/>
                    <w:left w:val="single" w:sz="4" w:space="0" w:color="auto"/>
                    <w:bottom w:val="single" w:sz="4" w:space="0" w:color="auto"/>
                    <w:right w:val="single" w:sz="4" w:space="0" w:color="auto"/>
                  </w:tcBorders>
                  <w:hideMark/>
                </w:tcPr>
                <w:p w14:paraId="157B5570" w14:textId="77777777" w:rsidR="001D3001" w:rsidRPr="008861A7" w:rsidRDefault="001D3001" w:rsidP="006F731C">
                  <w:pPr>
                    <w:numPr>
                      <w:ilvl w:val="0"/>
                      <w:numId w:val="4"/>
                    </w:numPr>
                    <w:spacing w:before="0" w:after="0"/>
                    <w:jc w:val="left"/>
                    <w:rPr>
                      <w:bCs/>
                      <w:noProof/>
                    </w:rPr>
                  </w:pPr>
                  <w:r w:rsidRPr="008861A7">
                    <w:rPr>
                      <w:noProof/>
                    </w:rPr>
                    <w:t>Exposure to controversial weapons (anti-personnel mines, cluster munitions, chemical weapons and biological weapons)</w:t>
                  </w:r>
                </w:p>
              </w:tc>
              <w:tc>
                <w:tcPr>
                  <w:tcW w:w="3402" w:type="dxa"/>
                  <w:tcBorders>
                    <w:top w:val="single" w:sz="4" w:space="0" w:color="auto"/>
                    <w:left w:val="single" w:sz="4" w:space="0" w:color="auto"/>
                    <w:bottom w:val="single" w:sz="4" w:space="0" w:color="auto"/>
                    <w:right w:val="single" w:sz="4" w:space="0" w:color="auto"/>
                  </w:tcBorders>
                  <w:hideMark/>
                </w:tcPr>
                <w:p w14:paraId="378967F4" w14:textId="77777777" w:rsidR="001D3001" w:rsidRPr="008861A7" w:rsidRDefault="001D3001" w:rsidP="001D3001">
                  <w:pPr>
                    <w:spacing w:after="0"/>
                    <w:rPr>
                      <w:noProof/>
                    </w:rPr>
                  </w:pPr>
                  <w:r w:rsidRPr="008861A7">
                    <w:rPr>
                      <w:noProof/>
                    </w:rPr>
                    <w:t>Share of investments in investee companies involved in the manufacture or selling of controversial weapons</w:t>
                  </w:r>
                </w:p>
              </w:tc>
              <w:tc>
                <w:tcPr>
                  <w:tcW w:w="1869" w:type="dxa"/>
                  <w:tcBorders>
                    <w:top w:val="single" w:sz="4" w:space="0" w:color="auto"/>
                    <w:left w:val="single" w:sz="4" w:space="0" w:color="auto"/>
                    <w:bottom w:val="single" w:sz="4" w:space="0" w:color="auto"/>
                    <w:right w:val="single" w:sz="4" w:space="0" w:color="auto"/>
                  </w:tcBorders>
                </w:tcPr>
                <w:p w14:paraId="2D65D34F"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668451B"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592FFA9E"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20AE6920" w14:textId="77777777" w:rsidR="001D3001" w:rsidRPr="008861A7" w:rsidRDefault="001D3001" w:rsidP="00477C34">
                  <w:pPr>
                    <w:spacing w:after="0"/>
                    <w:rPr>
                      <w:noProof/>
                    </w:rPr>
                  </w:pPr>
                </w:p>
              </w:tc>
            </w:tr>
            <w:tr w:rsidR="001D3001" w:rsidRPr="008861A7" w14:paraId="4172C6A5" w14:textId="77777777" w:rsidTr="00E72E90">
              <w:trPr>
                <w:trHeight w:val="522"/>
                <w:tblHeader/>
              </w:trPr>
              <w:tc>
                <w:tcPr>
                  <w:tcW w:w="14042" w:type="dxa"/>
                  <w:gridSpan w:val="7"/>
                  <w:tcBorders>
                    <w:top w:val="single" w:sz="4" w:space="0" w:color="auto"/>
                    <w:left w:val="single" w:sz="4" w:space="0" w:color="auto"/>
                    <w:bottom w:val="single" w:sz="4" w:space="0" w:color="auto"/>
                    <w:right w:val="single" w:sz="4" w:space="0" w:color="auto"/>
                  </w:tcBorders>
                </w:tcPr>
                <w:p w14:paraId="4E6D5797" w14:textId="77777777" w:rsidR="001D3001" w:rsidRPr="008861A7" w:rsidRDefault="001D3001" w:rsidP="00477C34">
                  <w:pPr>
                    <w:spacing w:after="0"/>
                    <w:jc w:val="center"/>
                    <w:rPr>
                      <w:b/>
                      <w:noProof/>
                    </w:rPr>
                  </w:pPr>
                  <w:bookmarkStart w:id="14" w:name="_Hlk56013292"/>
                  <w:bookmarkEnd w:id="13"/>
                </w:p>
                <w:p w14:paraId="53C60CC7" w14:textId="77777777" w:rsidR="001D3001" w:rsidRPr="008861A7" w:rsidRDefault="001D3001" w:rsidP="00477C34">
                  <w:pPr>
                    <w:spacing w:after="0"/>
                    <w:jc w:val="center"/>
                    <w:rPr>
                      <w:b/>
                      <w:noProof/>
                    </w:rPr>
                  </w:pPr>
                  <w:r w:rsidRPr="008861A7">
                    <w:rPr>
                      <w:b/>
                      <w:noProof/>
                    </w:rPr>
                    <w:t>Indicators applicable to investments in sovereigns and supranationals</w:t>
                  </w:r>
                </w:p>
                <w:p w14:paraId="6FE50EB9" w14:textId="77777777" w:rsidR="001D3001" w:rsidRPr="008861A7" w:rsidRDefault="001D3001" w:rsidP="00477C34">
                  <w:pPr>
                    <w:spacing w:after="0"/>
                    <w:jc w:val="center"/>
                    <w:rPr>
                      <w:b/>
                      <w:noProof/>
                    </w:rPr>
                  </w:pPr>
                </w:p>
              </w:tc>
            </w:tr>
            <w:bookmarkEnd w:id="14"/>
            <w:tr w:rsidR="001D3001" w:rsidRPr="008861A7" w14:paraId="611DBF10" w14:textId="77777777" w:rsidTr="00E72E90">
              <w:trPr>
                <w:tblHeader/>
              </w:trPr>
              <w:tc>
                <w:tcPr>
                  <w:tcW w:w="4128" w:type="dxa"/>
                  <w:gridSpan w:val="2"/>
                  <w:tcBorders>
                    <w:top w:val="single" w:sz="4" w:space="0" w:color="auto"/>
                    <w:left w:val="single" w:sz="4" w:space="0" w:color="auto"/>
                    <w:bottom w:val="single" w:sz="4" w:space="0" w:color="auto"/>
                    <w:right w:val="single" w:sz="4" w:space="0" w:color="auto"/>
                  </w:tcBorders>
                  <w:hideMark/>
                </w:tcPr>
                <w:p w14:paraId="6B3B7018" w14:textId="77777777" w:rsidR="001D3001" w:rsidRPr="008861A7" w:rsidRDefault="001D3001" w:rsidP="00477C34">
                  <w:pPr>
                    <w:spacing w:after="0"/>
                    <w:jc w:val="center"/>
                    <w:rPr>
                      <w:b/>
                      <w:noProof/>
                    </w:rPr>
                  </w:pPr>
                  <w:r w:rsidRPr="008861A7">
                    <w:rPr>
                      <w:b/>
                      <w:noProof/>
                    </w:rPr>
                    <w:t>Adverse sustainability indicator</w:t>
                  </w:r>
                </w:p>
              </w:tc>
              <w:tc>
                <w:tcPr>
                  <w:tcW w:w="3402" w:type="dxa"/>
                  <w:tcBorders>
                    <w:top w:val="single" w:sz="4" w:space="0" w:color="auto"/>
                    <w:left w:val="single" w:sz="4" w:space="0" w:color="auto"/>
                    <w:bottom w:val="single" w:sz="4" w:space="0" w:color="auto"/>
                    <w:right w:val="single" w:sz="4" w:space="0" w:color="auto"/>
                  </w:tcBorders>
                  <w:hideMark/>
                </w:tcPr>
                <w:p w14:paraId="624845D9" w14:textId="77777777" w:rsidR="001D3001" w:rsidRPr="008861A7" w:rsidRDefault="001D3001" w:rsidP="00477C34">
                  <w:pPr>
                    <w:spacing w:after="0"/>
                    <w:jc w:val="center"/>
                    <w:rPr>
                      <w:b/>
                      <w:noProof/>
                    </w:rPr>
                  </w:pPr>
                  <w:r w:rsidRPr="008861A7">
                    <w:rPr>
                      <w:b/>
                      <w:noProof/>
                    </w:rPr>
                    <w:t xml:space="preserve">Metric </w:t>
                  </w:r>
                </w:p>
              </w:tc>
              <w:tc>
                <w:tcPr>
                  <w:tcW w:w="1869" w:type="dxa"/>
                  <w:tcBorders>
                    <w:top w:val="single" w:sz="4" w:space="0" w:color="auto"/>
                    <w:left w:val="single" w:sz="4" w:space="0" w:color="auto"/>
                    <w:bottom w:val="single" w:sz="4" w:space="0" w:color="auto"/>
                    <w:right w:val="single" w:sz="4" w:space="0" w:color="auto"/>
                  </w:tcBorders>
                  <w:hideMark/>
                </w:tcPr>
                <w:p w14:paraId="09AC7CDD" w14:textId="77777777" w:rsidR="001D3001" w:rsidRPr="008861A7" w:rsidRDefault="001D3001" w:rsidP="00477C34">
                  <w:pPr>
                    <w:spacing w:after="0"/>
                    <w:jc w:val="center"/>
                    <w:rPr>
                      <w:b/>
                      <w:noProof/>
                    </w:rPr>
                  </w:pPr>
                  <w:r w:rsidRPr="008861A7">
                    <w:rPr>
                      <w:b/>
                      <w:noProof/>
                    </w:rPr>
                    <w:t>Impact [year n]</w:t>
                  </w:r>
                </w:p>
              </w:tc>
              <w:tc>
                <w:tcPr>
                  <w:tcW w:w="1816" w:type="dxa"/>
                  <w:tcBorders>
                    <w:top w:val="single" w:sz="4" w:space="0" w:color="auto"/>
                    <w:left w:val="single" w:sz="4" w:space="0" w:color="auto"/>
                    <w:bottom w:val="single" w:sz="4" w:space="0" w:color="auto"/>
                    <w:right w:val="single" w:sz="4" w:space="0" w:color="auto"/>
                  </w:tcBorders>
                  <w:hideMark/>
                </w:tcPr>
                <w:p w14:paraId="393ED465" w14:textId="77777777" w:rsidR="001D3001" w:rsidRPr="008861A7" w:rsidRDefault="001D3001" w:rsidP="00477C34">
                  <w:pPr>
                    <w:spacing w:after="0"/>
                    <w:jc w:val="center"/>
                    <w:rPr>
                      <w:b/>
                      <w:noProof/>
                    </w:rPr>
                  </w:pPr>
                  <w:r w:rsidRPr="008861A7">
                    <w:rPr>
                      <w:b/>
                      <w:noProof/>
                    </w:rPr>
                    <w:t>Impact [year n-1]</w:t>
                  </w:r>
                </w:p>
              </w:tc>
              <w:tc>
                <w:tcPr>
                  <w:tcW w:w="1418" w:type="dxa"/>
                  <w:tcBorders>
                    <w:top w:val="single" w:sz="4" w:space="0" w:color="auto"/>
                    <w:left w:val="single" w:sz="4" w:space="0" w:color="auto"/>
                    <w:bottom w:val="single" w:sz="4" w:space="0" w:color="auto"/>
                    <w:right w:val="single" w:sz="4" w:space="0" w:color="auto"/>
                  </w:tcBorders>
                  <w:hideMark/>
                </w:tcPr>
                <w:p w14:paraId="3A6703AE" w14:textId="77777777" w:rsidR="001D3001" w:rsidRPr="008861A7" w:rsidRDefault="001D3001" w:rsidP="00477C34">
                  <w:pPr>
                    <w:spacing w:after="0"/>
                    <w:jc w:val="center"/>
                    <w:rPr>
                      <w:b/>
                      <w:noProof/>
                    </w:rPr>
                  </w:pPr>
                  <w:r w:rsidRPr="008861A7">
                    <w:rPr>
                      <w:b/>
                      <w:noProof/>
                    </w:rPr>
                    <w:t>Explanation</w:t>
                  </w:r>
                </w:p>
              </w:tc>
              <w:tc>
                <w:tcPr>
                  <w:tcW w:w="1409" w:type="dxa"/>
                  <w:tcBorders>
                    <w:top w:val="single" w:sz="4" w:space="0" w:color="auto"/>
                    <w:left w:val="single" w:sz="4" w:space="0" w:color="auto"/>
                    <w:bottom w:val="single" w:sz="4" w:space="0" w:color="auto"/>
                    <w:right w:val="single" w:sz="4" w:space="0" w:color="auto"/>
                  </w:tcBorders>
                </w:tcPr>
                <w:p w14:paraId="1D04EDA6" w14:textId="77777777" w:rsidR="001D3001" w:rsidRPr="008861A7" w:rsidRDefault="001D3001" w:rsidP="00477C34">
                  <w:pPr>
                    <w:spacing w:after="0"/>
                    <w:jc w:val="center"/>
                    <w:rPr>
                      <w:b/>
                      <w:noProof/>
                    </w:rPr>
                  </w:pPr>
                  <w:r w:rsidRPr="008861A7">
                    <w:rPr>
                      <w:b/>
                      <w:noProof/>
                    </w:rPr>
                    <w:t>Actions taken</w:t>
                  </w:r>
                  <w:r w:rsidR="008E6A91" w:rsidRPr="008861A7">
                    <w:rPr>
                      <w:b/>
                      <w:noProof/>
                    </w:rPr>
                    <w:t>, and actions planned and targets set for the next reference period</w:t>
                  </w:r>
                </w:p>
              </w:tc>
            </w:tr>
            <w:tr w:rsidR="001D3001" w:rsidRPr="008861A7" w14:paraId="0D9034E1" w14:textId="77777777" w:rsidTr="00E72E90">
              <w:tc>
                <w:tcPr>
                  <w:tcW w:w="1531" w:type="dxa"/>
                  <w:tcBorders>
                    <w:top w:val="single" w:sz="4" w:space="0" w:color="auto"/>
                    <w:left w:val="single" w:sz="4" w:space="0" w:color="auto"/>
                    <w:right w:val="single" w:sz="4" w:space="0" w:color="auto"/>
                  </w:tcBorders>
                </w:tcPr>
                <w:p w14:paraId="4D37A6C6" w14:textId="77777777" w:rsidR="001D3001" w:rsidRPr="008861A7" w:rsidRDefault="001D3001" w:rsidP="00477C34">
                  <w:pPr>
                    <w:spacing w:after="0"/>
                    <w:rPr>
                      <w:noProof/>
                    </w:rPr>
                  </w:pPr>
                  <w:r w:rsidRPr="008861A7">
                    <w:rPr>
                      <w:noProof/>
                    </w:rPr>
                    <w:t xml:space="preserve">Environmental </w:t>
                  </w:r>
                </w:p>
              </w:tc>
              <w:tc>
                <w:tcPr>
                  <w:tcW w:w="2597" w:type="dxa"/>
                  <w:tcBorders>
                    <w:top w:val="single" w:sz="4" w:space="0" w:color="auto"/>
                    <w:left w:val="single" w:sz="4" w:space="0" w:color="auto"/>
                    <w:bottom w:val="single" w:sz="4" w:space="0" w:color="auto"/>
                    <w:right w:val="single" w:sz="4" w:space="0" w:color="auto"/>
                  </w:tcBorders>
                </w:tcPr>
                <w:p w14:paraId="6B05CB39" w14:textId="77777777" w:rsidR="001D3001" w:rsidRPr="008861A7" w:rsidRDefault="001D3001" w:rsidP="006F731C">
                  <w:pPr>
                    <w:pStyle w:val="ListParagraph"/>
                    <w:numPr>
                      <w:ilvl w:val="0"/>
                      <w:numId w:val="4"/>
                    </w:numPr>
                    <w:spacing w:after="0"/>
                    <w:contextualSpacing/>
                    <w:rPr>
                      <w:rFonts w:ascii="Times New Roman" w:hAnsi="Times New Roman"/>
                      <w:noProof/>
                      <w:szCs w:val="22"/>
                    </w:rPr>
                  </w:pPr>
                  <w:r w:rsidRPr="008861A7">
                    <w:rPr>
                      <w:rFonts w:ascii="Times New Roman" w:hAnsi="Times New Roman"/>
                      <w:noProof/>
                      <w:szCs w:val="22"/>
                    </w:rPr>
                    <w:t>GHG intensity</w:t>
                  </w:r>
                </w:p>
              </w:tc>
              <w:tc>
                <w:tcPr>
                  <w:tcW w:w="3402" w:type="dxa"/>
                  <w:tcBorders>
                    <w:top w:val="single" w:sz="4" w:space="0" w:color="auto"/>
                    <w:left w:val="single" w:sz="4" w:space="0" w:color="auto"/>
                    <w:bottom w:val="single" w:sz="4" w:space="0" w:color="auto"/>
                    <w:right w:val="single" w:sz="4" w:space="0" w:color="auto"/>
                  </w:tcBorders>
                </w:tcPr>
                <w:p w14:paraId="58524CFB" w14:textId="77777777" w:rsidR="001D3001" w:rsidRPr="008861A7" w:rsidRDefault="001D3001" w:rsidP="00477C34">
                  <w:pPr>
                    <w:spacing w:after="0"/>
                    <w:rPr>
                      <w:noProof/>
                    </w:rPr>
                  </w:pPr>
                  <w:r w:rsidRPr="008861A7">
                    <w:rPr>
                      <w:noProof/>
                    </w:rPr>
                    <w:t>GHG intensity of investee countries</w:t>
                  </w:r>
                </w:p>
              </w:tc>
              <w:tc>
                <w:tcPr>
                  <w:tcW w:w="1869" w:type="dxa"/>
                  <w:tcBorders>
                    <w:top w:val="single" w:sz="4" w:space="0" w:color="auto"/>
                    <w:left w:val="single" w:sz="4" w:space="0" w:color="auto"/>
                    <w:bottom w:val="single" w:sz="4" w:space="0" w:color="auto"/>
                    <w:right w:val="single" w:sz="4" w:space="0" w:color="auto"/>
                  </w:tcBorders>
                </w:tcPr>
                <w:p w14:paraId="68601C03"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4A1F8F55"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37CA8D77"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70A1E30C" w14:textId="77777777" w:rsidR="001D3001" w:rsidRPr="008861A7" w:rsidRDefault="001D3001" w:rsidP="00477C34">
                  <w:pPr>
                    <w:spacing w:after="0"/>
                    <w:rPr>
                      <w:noProof/>
                    </w:rPr>
                  </w:pPr>
                </w:p>
              </w:tc>
            </w:tr>
            <w:tr w:rsidR="001D3001" w:rsidRPr="008861A7" w14:paraId="50930459" w14:textId="77777777" w:rsidTr="00E72E90">
              <w:tc>
                <w:tcPr>
                  <w:tcW w:w="1531" w:type="dxa"/>
                  <w:tcBorders>
                    <w:top w:val="single" w:sz="4" w:space="0" w:color="auto"/>
                    <w:left w:val="single" w:sz="4" w:space="0" w:color="auto"/>
                    <w:bottom w:val="single" w:sz="4" w:space="0" w:color="auto"/>
                    <w:right w:val="single" w:sz="4" w:space="0" w:color="auto"/>
                  </w:tcBorders>
                  <w:hideMark/>
                </w:tcPr>
                <w:p w14:paraId="70495668" w14:textId="77777777" w:rsidR="001D3001" w:rsidRPr="008861A7" w:rsidRDefault="001D3001" w:rsidP="00477C34">
                  <w:pPr>
                    <w:spacing w:after="0"/>
                    <w:rPr>
                      <w:noProof/>
                    </w:rPr>
                  </w:pPr>
                  <w:r w:rsidRPr="008861A7">
                    <w:rPr>
                      <w:noProof/>
                    </w:rPr>
                    <w:t xml:space="preserve">Social </w:t>
                  </w:r>
                </w:p>
              </w:tc>
              <w:tc>
                <w:tcPr>
                  <w:tcW w:w="2597" w:type="dxa"/>
                  <w:tcBorders>
                    <w:top w:val="single" w:sz="4" w:space="0" w:color="auto"/>
                    <w:left w:val="single" w:sz="4" w:space="0" w:color="auto"/>
                    <w:bottom w:val="single" w:sz="4" w:space="0" w:color="auto"/>
                    <w:right w:val="single" w:sz="4" w:space="0" w:color="auto"/>
                  </w:tcBorders>
                </w:tcPr>
                <w:p w14:paraId="4884B63D" w14:textId="77777777" w:rsidR="001D3001" w:rsidRPr="008861A7" w:rsidRDefault="001D3001" w:rsidP="006F731C">
                  <w:pPr>
                    <w:pStyle w:val="ListParagraph"/>
                    <w:numPr>
                      <w:ilvl w:val="0"/>
                      <w:numId w:val="4"/>
                    </w:numPr>
                    <w:spacing w:after="0"/>
                    <w:contextualSpacing/>
                    <w:rPr>
                      <w:rFonts w:ascii="Times New Roman" w:hAnsi="Times New Roman"/>
                      <w:noProof/>
                      <w:szCs w:val="22"/>
                    </w:rPr>
                  </w:pPr>
                  <w:r w:rsidRPr="008861A7">
                    <w:rPr>
                      <w:rFonts w:ascii="Times New Roman" w:hAnsi="Times New Roman"/>
                      <w:noProof/>
                      <w:szCs w:val="22"/>
                    </w:rPr>
                    <w:t>Investee countries subject to social violations</w:t>
                  </w:r>
                </w:p>
              </w:tc>
              <w:tc>
                <w:tcPr>
                  <w:tcW w:w="3402" w:type="dxa"/>
                  <w:tcBorders>
                    <w:top w:val="single" w:sz="4" w:space="0" w:color="auto"/>
                    <w:left w:val="single" w:sz="4" w:space="0" w:color="auto"/>
                    <w:bottom w:val="single" w:sz="4" w:space="0" w:color="auto"/>
                    <w:right w:val="single" w:sz="4" w:space="0" w:color="auto"/>
                  </w:tcBorders>
                </w:tcPr>
                <w:p w14:paraId="26500FB6" w14:textId="77777777" w:rsidR="001D3001" w:rsidRPr="008861A7" w:rsidRDefault="001D3001" w:rsidP="001D3001">
                  <w:pPr>
                    <w:spacing w:after="0"/>
                    <w:rPr>
                      <w:noProof/>
                    </w:rPr>
                  </w:pPr>
                  <w:r w:rsidRPr="008861A7">
                    <w:rPr>
                      <w:bCs/>
                      <w:noProof/>
                    </w:rPr>
                    <w:t>Number of investee countries subject to social violations (absolute number and relative number divided by all investee countries), as referred to in international treaties and conventions, United Nations principles and, where applicable, national law</w:t>
                  </w:r>
                </w:p>
              </w:tc>
              <w:tc>
                <w:tcPr>
                  <w:tcW w:w="1869" w:type="dxa"/>
                  <w:tcBorders>
                    <w:top w:val="single" w:sz="4" w:space="0" w:color="auto"/>
                    <w:left w:val="single" w:sz="4" w:space="0" w:color="auto"/>
                    <w:bottom w:val="single" w:sz="4" w:space="0" w:color="auto"/>
                    <w:right w:val="single" w:sz="4" w:space="0" w:color="auto"/>
                  </w:tcBorders>
                </w:tcPr>
                <w:p w14:paraId="687792E1"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4E4AB2CE"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22BA6659"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63F5322E" w14:textId="77777777" w:rsidR="001D3001" w:rsidRPr="008861A7" w:rsidRDefault="001D3001" w:rsidP="00477C34">
                  <w:pPr>
                    <w:spacing w:after="0"/>
                    <w:rPr>
                      <w:noProof/>
                    </w:rPr>
                  </w:pPr>
                </w:p>
              </w:tc>
            </w:tr>
            <w:tr w:rsidR="001D3001" w:rsidRPr="008861A7" w14:paraId="2F0D02B6" w14:textId="77777777" w:rsidTr="00E72E90">
              <w:trPr>
                <w:trHeight w:val="522"/>
                <w:tblHeader/>
              </w:trPr>
              <w:tc>
                <w:tcPr>
                  <w:tcW w:w="14042" w:type="dxa"/>
                  <w:gridSpan w:val="7"/>
                  <w:tcBorders>
                    <w:top w:val="single" w:sz="4" w:space="0" w:color="auto"/>
                    <w:left w:val="single" w:sz="4" w:space="0" w:color="auto"/>
                    <w:bottom w:val="single" w:sz="4" w:space="0" w:color="auto"/>
                    <w:right w:val="single" w:sz="4" w:space="0" w:color="auto"/>
                  </w:tcBorders>
                </w:tcPr>
                <w:p w14:paraId="331AAAEA" w14:textId="77777777" w:rsidR="001D3001" w:rsidRPr="008861A7" w:rsidRDefault="001D3001" w:rsidP="00477C34">
                  <w:pPr>
                    <w:spacing w:after="0"/>
                    <w:jc w:val="center"/>
                    <w:rPr>
                      <w:b/>
                      <w:noProof/>
                    </w:rPr>
                  </w:pPr>
                </w:p>
                <w:p w14:paraId="211BB205" w14:textId="77777777" w:rsidR="001D3001" w:rsidRPr="008861A7" w:rsidRDefault="001D3001" w:rsidP="00477C34">
                  <w:pPr>
                    <w:spacing w:after="0"/>
                    <w:jc w:val="center"/>
                    <w:rPr>
                      <w:b/>
                      <w:noProof/>
                    </w:rPr>
                  </w:pPr>
                  <w:r w:rsidRPr="008861A7">
                    <w:rPr>
                      <w:b/>
                      <w:noProof/>
                    </w:rPr>
                    <w:t>Indicators applicable to investments in real estate assets</w:t>
                  </w:r>
                </w:p>
                <w:p w14:paraId="3E892995" w14:textId="77777777" w:rsidR="001D3001" w:rsidRPr="008861A7" w:rsidRDefault="001D3001" w:rsidP="00477C34">
                  <w:pPr>
                    <w:spacing w:after="0"/>
                    <w:jc w:val="center"/>
                    <w:rPr>
                      <w:b/>
                      <w:noProof/>
                    </w:rPr>
                  </w:pPr>
                </w:p>
              </w:tc>
            </w:tr>
            <w:tr w:rsidR="001D3001" w:rsidRPr="008861A7" w14:paraId="44266988" w14:textId="77777777" w:rsidTr="00E72E90">
              <w:tc>
                <w:tcPr>
                  <w:tcW w:w="4128" w:type="dxa"/>
                  <w:gridSpan w:val="2"/>
                  <w:tcBorders>
                    <w:top w:val="single" w:sz="4" w:space="0" w:color="auto"/>
                    <w:left w:val="single" w:sz="4" w:space="0" w:color="auto"/>
                    <w:bottom w:val="single" w:sz="4" w:space="0" w:color="auto"/>
                    <w:right w:val="single" w:sz="4" w:space="0" w:color="auto"/>
                  </w:tcBorders>
                </w:tcPr>
                <w:p w14:paraId="212DC1D5" w14:textId="77777777" w:rsidR="001D3001" w:rsidRPr="008861A7" w:rsidRDefault="001D3001" w:rsidP="00477C34">
                  <w:pPr>
                    <w:pStyle w:val="ListParagraph"/>
                    <w:spacing w:after="0"/>
                    <w:rPr>
                      <w:rFonts w:ascii="Times New Roman" w:hAnsi="Times New Roman"/>
                      <w:bCs/>
                      <w:noProof/>
                      <w:szCs w:val="22"/>
                    </w:rPr>
                  </w:pPr>
                  <w:bookmarkStart w:id="15" w:name="_Hlk58952339"/>
                  <w:r w:rsidRPr="008861A7">
                    <w:rPr>
                      <w:rFonts w:ascii="Times New Roman" w:hAnsi="Times New Roman"/>
                      <w:b/>
                      <w:noProof/>
                      <w:szCs w:val="22"/>
                    </w:rPr>
                    <w:t>Adverse sustainability indicator</w:t>
                  </w:r>
                </w:p>
              </w:tc>
              <w:tc>
                <w:tcPr>
                  <w:tcW w:w="3402" w:type="dxa"/>
                  <w:tcBorders>
                    <w:top w:val="single" w:sz="4" w:space="0" w:color="auto"/>
                    <w:left w:val="nil"/>
                    <w:bottom w:val="single" w:sz="4" w:space="0" w:color="auto"/>
                    <w:right w:val="single" w:sz="8" w:space="0" w:color="auto"/>
                  </w:tcBorders>
                  <w:shd w:val="clear" w:color="000000" w:fill="FFFFFF"/>
                </w:tcPr>
                <w:p w14:paraId="7371C751" w14:textId="77777777" w:rsidR="001D3001" w:rsidRPr="008861A7" w:rsidRDefault="001D3001" w:rsidP="00477C34">
                  <w:pPr>
                    <w:spacing w:after="0"/>
                    <w:rPr>
                      <w:noProof/>
                      <w:color w:val="000000"/>
                    </w:rPr>
                  </w:pPr>
                  <w:r w:rsidRPr="008861A7">
                    <w:rPr>
                      <w:b/>
                      <w:noProof/>
                    </w:rPr>
                    <w:t>Metric</w:t>
                  </w:r>
                </w:p>
              </w:tc>
              <w:tc>
                <w:tcPr>
                  <w:tcW w:w="1869" w:type="dxa"/>
                  <w:tcBorders>
                    <w:top w:val="single" w:sz="4" w:space="0" w:color="auto"/>
                    <w:left w:val="single" w:sz="4" w:space="0" w:color="auto"/>
                    <w:bottom w:val="single" w:sz="4" w:space="0" w:color="auto"/>
                    <w:right w:val="single" w:sz="4" w:space="0" w:color="auto"/>
                  </w:tcBorders>
                </w:tcPr>
                <w:p w14:paraId="6EF85E71" w14:textId="77777777" w:rsidR="001D3001" w:rsidRPr="008861A7" w:rsidRDefault="001D3001" w:rsidP="00477C34">
                  <w:pPr>
                    <w:spacing w:after="0"/>
                    <w:rPr>
                      <w:noProof/>
                    </w:rPr>
                  </w:pPr>
                  <w:r w:rsidRPr="008861A7">
                    <w:rPr>
                      <w:b/>
                      <w:noProof/>
                    </w:rPr>
                    <w:t>Impact [year n]</w:t>
                  </w:r>
                </w:p>
              </w:tc>
              <w:tc>
                <w:tcPr>
                  <w:tcW w:w="1816" w:type="dxa"/>
                  <w:tcBorders>
                    <w:top w:val="single" w:sz="4" w:space="0" w:color="auto"/>
                    <w:left w:val="single" w:sz="4" w:space="0" w:color="auto"/>
                    <w:bottom w:val="single" w:sz="4" w:space="0" w:color="auto"/>
                    <w:right w:val="single" w:sz="4" w:space="0" w:color="auto"/>
                  </w:tcBorders>
                </w:tcPr>
                <w:p w14:paraId="494C042B" w14:textId="77777777" w:rsidR="001D3001" w:rsidRPr="008861A7" w:rsidRDefault="001D3001" w:rsidP="00477C34">
                  <w:pPr>
                    <w:spacing w:after="0"/>
                    <w:rPr>
                      <w:noProof/>
                    </w:rPr>
                  </w:pPr>
                  <w:r w:rsidRPr="008861A7">
                    <w:rPr>
                      <w:b/>
                      <w:noProof/>
                    </w:rPr>
                    <w:t>Impact [year n-1]</w:t>
                  </w:r>
                </w:p>
              </w:tc>
              <w:tc>
                <w:tcPr>
                  <w:tcW w:w="1418" w:type="dxa"/>
                  <w:tcBorders>
                    <w:top w:val="single" w:sz="4" w:space="0" w:color="auto"/>
                    <w:left w:val="single" w:sz="4" w:space="0" w:color="auto"/>
                    <w:bottom w:val="single" w:sz="4" w:space="0" w:color="auto"/>
                    <w:right w:val="single" w:sz="4" w:space="0" w:color="auto"/>
                  </w:tcBorders>
                </w:tcPr>
                <w:p w14:paraId="0448CDDA" w14:textId="77777777" w:rsidR="001D3001" w:rsidRPr="008861A7" w:rsidRDefault="001D3001" w:rsidP="00477C34">
                  <w:pPr>
                    <w:spacing w:after="0"/>
                    <w:rPr>
                      <w:noProof/>
                    </w:rPr>
                  </w:pPr>
                  <w:r w:rsidRPr="008861A7">
                    <w:rPr>
                      <w:b/>
                      <w:noProof/>
                    </w:rPr>
                    <w:t>Explanation</w:t>
                  </w:r>
                </w:p>
              </w:tc>
              <w:tc>
                <w:tcPr>
                  <w:tcW w:w="1409" w:type="dxa"/>
                  <w:tcBorders>
                    <w:top w:val="single" w:sz="4" w:space="0" w:color="auto"/>
                    <w:left w:val="single" w:sz="4" w:space="0" w:color="auto"/>
                    <w:bottom w:val="single" w:sz="4" w:space="0" w:color="auto"/>
                    <w:right w:val="single" w:sz="4" w:space="0" w:color="auto"/>
                  </w:tcBorders>
                </w:tcPr>
                <w:p w14:paraId="780DCAB5" w14:textId="77777777" w:rsidR="001D3001" w:rsidRPr="008861A7" w:rsidRDefault="001D3001" w:rsidP="00477C34">
                  <w:pPr>
                    <w:spacing w:after="0"/>
                    <w:rPr>
                      <w:noProof/>
                    </w:rPr>
                  </w:pPr>
                  <w:r w:rsidRPr="008861A7">
                    <w:rPr>
                      <w:b/>
                      <w:noProof/>
                    </w:rPr>
                    <w:t>Actions taken</w:t>
                  </w:r>
                  <w:r w:rsidR="008E6A91" w:rsidRPr="008861A7">
                    <w:rPr>
                      <w:b/>
                      <w:noProof/>
                    </w:rPr>
                    <w:t>, and actions planned and targets set for the next reference period</w:t>
                  </w:r>
                </w:p>
              </w:tc>
            </w:tr>
            <w:tr w:rsidR="001D3001" w:rsidRPr="008861A7" w14:paraId="65D94256" w14:textId="77777777" w:rsidTr="00E72E90">
              <w:tc>
                <w:tcPr>
                  <w:tcW w:w="1531" w:type="dxa"/>
                  <w:tcBorders>
                    <w:top w:val="single" w:sz="4" w:space="0" w:color="auto"/>
                    <w:left w:val="single" w:sz="4" w:space="0" w:color="auto"/>
                    <w:bottom w:val="single" w:sz="4" w:space="0" w:color="auto"/>
                    <w:right w:val="single" w:sz="4" w:space="0" w:color="auto"/>
                  </w:tcBorders>
                </w:tcPr>
                <w:p w14:paraId="10AB4FEA" w14:textId="77777777" w:rsidR="001D3001" w:rsidRPr="008861A7" w:rsidRDefault="001D3001" w:rsidP="00477C34">
                  <w:pPr>
                    <w:spacing w:after="0"/>
                    <w:rPr>
                      <w:noProof/>
                    </w:rPr>
                  </w:pPr>
                  <w:r w:rsidRPr="008861A7">
                    <w:rPr>
                      <w:noProof/>
                    </w:rPr>
                    <w:t>Fossil fuels</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17257EC1" w14:textId="77777777" w:rsidR="001D3001" w:rsidRPr="008861A7" w:rsidRDefault="001D3001" w:rsidP="006F731C">
                  <w:pPr>
                    <w:pStyle w:val="ListParagraph"/>
                    <w:numPr>
                      <w:ilvl w:val="0"/>
                      <w:numId w:val="4"/>
                    </w:numPr>
                    <w:spacing w:after="0"/>
                    <w:contextualSpacing/>
                    <w:rPr>
                      <w:rFonts w:ascii="Times New Roman" w:hAnsi="Times New Roman"/>
                      <w:bCs/>
                      <w:noProof/>
                      <w:szCs w:val="22"/>
                    </w:rPr>
                  </w:pPr>
                  <w:r w:rsidRPr="008861A7">
                    <w:rPr>
                      <w:rFonts w:ascii="Times New Roman" w:hAnsi="Times New Roman"/>
                      <w:bCs/>
                      <w:noProof/>
                      <w:szCs w:val="22"/>
                    </w:rPr>
                    <w:t>Exposure to fossil fuels through real estate assets</w:t>
                  </w:r>
                </w:p>
              </w:tc>
              <w:tc>
                <w:tcPr>
                  <w:tcW w:w="3402" w:type="dxa"/>
                  <w:tcBorders>
                    <w:top w:val="single" w:sz="4" w:space="0" w:color="auto"/>
                    <w:left w:val="nil"/>
                    <w:bottom w:val="single" w:sz="4" w:space="0" w:color="auto"/>
                    <w:right w:val="single" w:sz="8" w:space="0" w:color="auto"/>
                  </w:tcBorders>
                  <w:shd w:val="clear" w:color="000000" w:fill="FFFFFF"/>
                  <w:vAlign w:val="center"/>
                </w:tcPr>
                <w:p w14:paraId="147C752D" w14:textId="77777777" w:rsidR="001D3001" w:rsidRPr="008861A7" w:rsidRDefault="001D3001" w:rsidP="001D3001">
                  <w:pPr>
                    <w:spacing w:after="0"/>
                    <w:rPr>
                      <w:noProof/>
                    </w:rPr>
                  </w:pPr>
                  <w:r w:rsidRPr="008861A7">
                    <w:rPr>
                      <w:noProof/>
                      <w:color w:val="000000"/>
                    </w:rPr>
                    <w:t>Share of investments in real estate assets involved in the extraction, storage, transport or manufacture of fossil fuels</w:t>
                  </w:r>
                </w:p>
              </w:tc>
              <w:tc>
                <w:tcPr>
                  <w:tcW w:w="1869" w:type="dxa"/>
                  <w:tcBorders>
                    <w:top w:val="single" w:sz="4" w:space="0" w:color="auto"/>
                    <w:left w:val="single" w:sz="4" w:space="0" w:color="auto"/>
                    <w:bottom w:val="single" w:sz="4" w:space="0" w:color="auto"/>
                    <w:right w:val="single" w:sz="4" w:space="0" w:color="auto"/>
                  </w:tcBorders>
                </w:tcPr>
                <w:p w14:paraId="05A808A2"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1A5FD4B1"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696F59B9"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6FD1FCB9" w14:textId="77777777" w:rsidR="001D3001" w:rsidRPr="008861A7" w:rsidRDefault="001D3001" w:rsidP="00477C34">
                  <w:pPr>
                    <w:spacing w:after="0"/>
                    <w:rPr>
                      <w:noProof/>
                    </w:rPr>
                  </w:pPr>
                </w:p>
              </w:tc>
            </w:tr>
            <w:tr w:rsidR="001D3001" w:rsidRPr="008861A7" w14:paraId="63EAC209" w14:textId="77777777" w:rsidTr="00E72E90">
              <w:trPr>
                <w:trHeight w:val="414"/>
              </w:trPr>
              <w:tc>
                <w:tcPr>
                  <w:tcW w:w="1531" w:type="dxa"/>
                  <w:tcBorders>
                    <w:top w:val="single" w:sz="4" w:space="0" w:color="auto"/>
                    <w:left w:val="single" w:sz="4" w:space="0" w:color="auto"/>
                    <w:bottom w:val="single" w:sz="4" w:space="0" w:color="auto"/>
                    <w:right w:val="single" w:sz="4" w:space="0" w:color="auto"/>
                  </w:tcBorders>
                </w:tcPr>
                <w:p w14:paraId="5AD2C444" w14:textId="77777777" w:rsidR="001D3001" w:rsidRPr="008861A7" w:rsidRDefault="001D3001" w:rsidP="00477C34">
                  <w:pPr>
                    <w:spacing w:after="0"/>
                    <w:rPr>
                      <w:noProof/>
                    </w:rPr>
                  </w:pPr>
                  <w:r w:rsidRPr="008861A7">
                    <w:rPr>
                      <w:noProof/>
                    </w:rPr>
                    <w:t>Energy efficiency</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14:paraId="62C05B8A" w14:textId="77777777" w:rsidR="001D3001" w:rsidRPr="008861A7" w:rsidRDefault="001D3001" w:rsidP="006F731C">
                  <w:pPr>
                    <w:pStyle w:val="ListParagraph"/>
                    <w:numPr>
                      <w:ilvl w:val="0"/>
                      <w:numId w:val="4"/>
                    </w:numPr>
                    <w:spacing w:after="0"/>
                    <w:contextualSpacing/>
                    <w:rPr>
                      <w:rFonts w:ascii="Times New Roman" w:hAnsi="Times New Roman"/>
                      <w:noProof/>
                      <w:szCs w:val="22"/>
                    </w:rPr>
                  </w:pPr>
                  <w:r w:rsidRPr="008861A7">
                    <w:rPr>
                      <w:rFonts w:ascii="Times New Roman" w:hAnsi="Times New Roman"/>
                      <w:noProof/>
                      <w:szCs w:val="22"/>
                    </w:rPr>
                    <w:t>Exposure to energy-inefficient real estate assets</w:t>
                  </w:r>
                </w:p>
                <w:p w14:paraId="08849A1F" w14:textId="77777777" w:rsidR="001D3001" w:rsidRPr="008861A7" w:rsidRDefault="001D3001" w:rsidP="00477C34">
                  <w:pPr>
                    <w:pStyle w:val="ListParagraph"/>
                    <w:spacing w:after="0"/>
                    <w:contextualSpacing/>
                    <w:rPr>
                      <w:rFonts w:ascii="Times New Roman" w:hAnsi="Times New Roman"/>
                      <w:noProof/>
                      <w:szCs w:val="22"/>
                    </w:rPr>
                  </w:pPr>
                </w:p>
              </w:tc>
              <w:tc>
                <w:tcPr>
                  <w:tcW w:w="3402" w:type="dxa"/>
                  <w:tcBorders>
                    <w:top w:val="single" w:sz="4" w:space="0" w:color="auto"/>
                    <w:left w:val="nil"/>
                    <w:bottom w:val="single" w:sz="4" w:space="0" w:color="auto"/>
                    <w:right w:val="single" w:sz="8" w:space="0" w:color="auto"/>
                  </w:tcBorders>
                  <w:shd w:val="clear" w:color="000000" w:fill="FFFFFF"/>
                  <w:vAlign w:val="center"/>
                </w:tcPr>
                <w:p w14:paraId="62195AB2" w14:textId="77777777" w:rsidR="001D3001" w:rsidRPr="008861A7" w:rsidRDefault="001D3001" w:rsidP="00477C34">
                  <w:pPr>
                    <w:spacing w:after="0"/>
                    <w:rPr>
                      <w:noProof/>
                      <w:color w:val="000000"/>
                    </w:rPr>
                  </w:pPr>
                  <w:r w:rsidRPr="008861A7">
                    <w:rPr>
                      <w:noProof/>
                      <w:color w:val="000000"/>
                    </w:rPr>
                    <w:t>Share of investments in energy-inefficient real estate assets</w:t>
                  </w:r>
                </w:p>
                <w:p w14:paraId="01B94ACA" w14:textId="77777777" w:rsidR="001D3001" w:rsidRPr="008861A7" w:rsidRDefault="001D3001" w:rsidP="00477C34">
                  <w:pPr>
                    <w:spacing w:after="0"/>
                    <w:rPr>
                      <w:noProof/>
                      <w:color w:val="000000"/>
                    </w:rPr>
                  </w:pPr>
                </w:p>
              </w:tc>
              <w:tc>
                <w:tcPr>
                  <w:tcW w:w="1869" w:type="dxa"/>
                  <w:tcBorders>
                    <w:top w:val="single" w:sz="4" w:space="0" w:color="auto"/>
                    <w:left w:val="single" w:sz="4" w:space="0" w:color="auto"/>
                    <w:bottom w:val="single" w:sz="4" w:space="0" w:color="auto"/>
                    <w:right w:val="single" w:sz="4" w:space="0" w:color="auto"/>
                  </w:tcBorders>
                </w:tcPr>
                <w:p w14:paraId="3C76DEFB" w14:textId="77777777" w:rsidR="001D3001" w:rsidRPr="008861A7" w:rsidRDefault="001D3001" w:rsidP="00477C34">
                  <w:pPr>
                    <w:spacing w:after="0"/>
                    <w:rPr>
                      <w:noProof/>
                    </w:rPr>
                  </w:pPr>
                </w:p>
              </w:tc>
              <w:tc>
                <w:tcPr>
                  <w:tcW w:w="1816" w:type="dxa"/>
                  <w:tcBorders>
                    <w:top w:val="single" w:sz="4" w:space="0" w:color="auto"/>
                    <w:left w:val="single" w:sz="4" w:space="0" w:color="auto"/>
                    <w:bottom w:val="single" w:sz="4" w:space="0" w:color="auto"/>
                    <w:right w:val="single" w:sz="4" w:space="0" w:color="auto"/>
                  </w:tcBorders>
                </w:tcPr>
                <w:p w14:paraId="3755147C" w14:textId="77777777" w:rsidR="001D3001" w:rsidRPr="008861A7" w:rsidRDefault="001D3001" w:rsidP="00477C34">
                  <w:pPr>
                    <w:spacing w:after="0"/>
                    <w:rPr>
                      <w:noProof/>
                    </w:rPr>
                  </w:pPr>
                </w:p>
              </w:tc>
              <w:tc>
                <w:tcPr>
                  <w:tcW w:w="1418" w:type="dxa"/>
                  <w:tcBorders>
                    <w:top w:val="single" w:sz="4" w:space="0" w:color="auto"/>
                    <w:left w:val="single" w:sz="4" w:space="0" w:color="auto"/>
                    <w:bottom w:val="single" w:sz="4" w:space="0" w:color="auto"/>
                    <w:right w:val="single" w:sz="4" w:space="0" w:color="auto"/>
                  </w:tcBorders>
                </w:tcPr>
                <w:p w14:paraId="55FFA699" w14:textId="77777777" w:rsidR="001D3001" w:rsidRPr="008861A7" w:rsidRDefault="001D3001" w:rsidP="00477C34">
                  <w:pPr>
                    <w:spacing w:after="0"/>
                    <w:rPr>
                      <w:noProof/>
                    </w:rPr>
                  </w:pPr>
                </w:p>
              </w:tc>
              <w:tc>
                <w:tcPr>
                  <w:tcW w:w="1409" w:type="dxa"/>
                  <w:tcBorders>
                    <w:top w:val="single" w:sz="4" w:space="0" w:color="auto"/>
                    <w:left w:val="single" w:sz="4" w:space="0" w:color="auto"/>
                    <w:bottom w:val="single" w:sz="4" w:space="0" w:color="auto"/>
                    <w:right w:val="single" w:sz="4" w:space="0" w:color="auto"/>
                  </w:tcBorders>
                </w:tcPr>
                <w:p w14:paraId="4BA71559" w14:textId="77777777" w:rsidR="001D3001" w:rsidRPr="008861A7" w:rsidRDefault="001D3001" w:rsidP="00477C34">
                  <w:pPr>
                    <w:spacing w:after="0"/>
                    <w:rPr>
                      <w:noProof/>
                    </w:rPr>
                  </w:pPr>
                </w:p>
              </w:tc>
            </w:tr>
            <w:bookmarkEnd w:id="15"/>
            <w:tr w:rsidR="001D3001" w:rsidRPr="008861A7" w14:paraId="4DC7D715" w14:textId="77777777" w:rsidTr="00E72E90">
              <w:trPr>
                <w:trHeight w:val="733"/>
              </w:trPr>
              <w:tc>
                <w:tcPr>
                  <w:tcW w:w="14042" w:type="dxa"/>
                  <w:gridSpan w:val="7"/>
                  <w:tcBorders>
                    <w:top w:val="single" w:sz="4" w:space="0" w:color="auto"/>
                    <w:left w:val="single" w:sz="4" w:space="0" w:color="auto"/>
                    <w:bottom w:val="single" w:sz="4" w:space="0" w:color="auto"/>
                    <w:right w:val="single" w:sz="4" w:space="0" w:color="auto"/>
                  </w:tcBorders>
                </w:tcPr>
                <w:p w14:paraId="4022B0C8" w14:textId="77777777" w:rsidR="001D3001" w:rsidRPr="008861A7" w:rsidRDefault="001D3001" w:rsidP="00477C34">
                  <w:pPr>
                    <w:spacing w:after="0"/>
                    <w:jc w:val="center"/>
                    <w:rPr>
                      <w:b/>
                      <w:bCs/>
                      <w:noProof/>
                    </w:rPr>
                  </w:pPr>
                </w:p>
                <w:p w14:paraId="0DE4B683" w14:textId="77777777" w:rsidR="001D3001" w:rsidRPr="008861A7" w:rsidRDefault="001D3001" w:rsidP="00477C34">
                  <w:pPr>
                    <w:spacing w:after="0"/>
                    <w:jc w:val="center"/>
                    <w:rPr>
                      <w:b/>
                      <w:bCs/>
                      <w:noProof/>
                    </w:rPr>
                  </w:pPr>
                  <w:r w:rsidRPr="008861A7">
                    <w:rPr>
                      <w:b/>
                      <w:bCs/>
                      <w:noProof/>
                    </w:rPr>
                    <w:t>Other indicators for principal adverse impact</w:t>
                  </w:r>
                  <w:r w:rsidR="00010690" w:rsidRPr="008861A7">
                    <w:rPr>
                      <w:b/>
                      <w:bCs/>
                      <w:noProof/>
                    </w:rPr>
                    <w:t>s</w:t>
                  </w:r>
                  <w:r w:rsidR="00493AE0" w:rsidRPr="008861A7">
                    <w:rPr>
                      <w:b/>
                      <w:bCs/>
                      <w:noProof/>
                    </w:rPr>
                    <w:t xml:space="preserve"> on sustainability factors</w:t>
                  </w:r>
                </w:p>
                <w:p w14:paraId="1A3A6881" w14:textId="77777777" w:rsidR="001D3001" w:rsidRPr="008861A7" w:rsidRDefault="001D3001" w:rsidP="00477C34">
                  <w:pPr>
                    <w:spacing w:after="0"/>
                    <w:jc w:val="center"/>
                    <w:rPr>
                      <w:b/>
                      <w:bCs/>
                      <w:noProof/>
                    </w:rPr>
                  </w:pPr>
                </w:p>
              </w:tc>
            </w:tr>
            <w:tr w:rsidR="001D3001" w:rsidRPr="008861A7" w14:paraId="55319657" w14:textId="77777777" w:rsidTr="00E72E90">
              <w:tc>
                <w:tcPr>
                  <w:tcW w:w="14042" w:type="dxa"/>
                  <w:gridSpan w:val="7"/>
                  <w:tcBorders>
                    <w:top w:val="single" w:sz="4" w:space="0" w:color="auto"/>
                    <w:left w:val="single" w:sz="4" w:space="0" w:color="auto"/>
                    <w:bottom w:val="single" w:sz="4" w:space="0" w:color="auto"/>
                    <w:right w:val="single" w:sz="4" w:space="0" w:color="auto"/>
                  </w:tcBorders>
                </w:tcPr>
                <w:p w14:paraId="06931FA4" w14:textId="4A62422C" w:rsidR="001D3001" w:rsidRPr="008861A7" w:rsidRDefault="001D3001" w:rsidP="002047F4">
                  <w:pPr>
                    <w:spacing w:after="0"/>
                    <w:rPr>
                      <w:noProof/>
                    </w:rPr>
                  </w:pPr>
                  <w:bookmarkStart w:id="16" w:name="_Hlk61357488"/>
                  <w:r w:rsidRPr="008861A7">
                    <w:rPr>
                      <w:noProof/>
                    </w:rPr>
                    <w:t>[</w:t>
                  </w:r>
                  <w:r w:rsidRPr="008861A7">
                    <w:rPr>
                      <w:i/>
                      <w:iCs/>
                      <w:noProof/>
                    </w:rPr>
                    <w:t xml:space="preserve">Information on the principal adverse </w:t>
                  </w:r>
                  <w:r w:rsidR="00493AE0" w:rsidRPr="008861A7">
                    <w:rPr>
                      <w:i/>
                      <w:iCs/>
                      <w:noProof/>
                    </w:rPr>
                    <w:t xml:space="preserve">impacts on </w:t>
                  </w:r>
                  <w:r w:rsidRPr="008861A7">
                    <w:rPr>
                      <w:i/>
                      <w:iCs/>
                      <w:noProof/>
                    </w:rPr>
                    <w:t xml:space="preserve">sustainability </w:t>
                  </w:r>
                  <w:r w:rsidR="00493AE0" w:rsidRPr="008861A7">
                    <w:rPr>
                      <w:i/>
                      <w:iCs/>
                      <w:noProof/>
                    </w:rPr>
                    <w:t>factors</w:t>
                  </w:r>
                  <w:r w:rsidRPr="008861A7">
                    <w:rPr>
                      <w:i/>
                      <w:iCs/>
                      <w:noProof/>
                    </w:rPr>
                    <w:t xml:space="preserve"> referred to in Article </w:t>
                  </w:r>
                  <w:r w:rsidR="00730136" w:rsidRPr="008861A7">
                    <w:rPr>
                      <w:i/>
                      <w:iCs/>
                      <w:noProof/>
                    </w:rPr>
                    <w:t>6</w:t>
                  </w:r>
                  <w:r w:rsidRPr="008861A7">
                    <w:rPr>
                      <w:i/>
                      <w:iCs/>
                      <w:noProof/>
                    </w:rPr>
                    <w:t>(1)</w:t>
                  </w:r>
                  <w:r w:rsidR="00730136" w:rsidRPr="008861A7">
                    <w:rPr>
                      <w:i/>
                      <w:iCs/>
                      <w:noProof/>
                    </w:rPr>
                    <w:t xml:space="preserve">, point </w:t>
                  </w:r>
                  <w:r w:rsidRPr="008861A7">
                    <w:rPr>
                      <w:i/>
                      <w:iCs/>
                      <w:noProof/>
                    </w:rPr>
                    <w:t>(</w:t>
                  </w:r>
                  <w:r w:rsidR="00E72E90" w:rsidRPr="008861A7">
                    <w:rPr>
                      <w:i/>
                      <w:iCs/>
                      <w:noProof/>
                    </w:rPr>
                    <w:t>a</w:t>
                  </w:r>
                  <w:r w:rsidRPr="008861A7">
                    <w:rPr>
                      <w:i/>
                      <w:iCs/>
                      <w:noProof/>
                    </w:rPr>
                    <w:t>) in the format in Table 2</w:t>
                  </w:r>
                  <w:r w:rsidRPr="008861A7">
                    <w:rPr>
                      <w:noProof/>
                    </w:rPr>
                    <w:t>]</w:t>
                  </w:r>
                </w:p>
              </w:tc>
            </w:tr>
            <w:tr w:rsidR="001D3001" w:rsidRPr="008861A7" w14:paraId="38341DF0" w14:textId="77777777" w:rsidTr="00E72E90">
              <w:tc>
                <w:tcPr>
                  <w:tcW w:w="14042" w:type="dxa"/>
                  <w:gridSpan w:val="7"/>
                  <w:tcBorders>
                    <w:top w:val="single" w:sz="4" w:space="0" w:color="auto"/>
                    <w:left w:val="single" w:sz="4" w:space="0" w:color="auto"/>
                    <w:bottom w:val="single" w:sz="4" w:space="0" w:color="auto"/>
                    <w:right w:val="single" w:sz="4" w:space="0" w:color="auto"/>
                  </w:tcBorders>
                </w:tcPr>
                <w:p w14:paraId="6A61778C" w14:textId="505F9280" w:rsidR="001D3001" w:rsidRPr="008861A7" w:rsidRDefault="001D3001" w:rsidP="00730136">
                  <w:pPr>
                    <w:spacing w:after="0"/>
                    <w:rPr>
                      <w:noProof/>
                    </w:rPr>
                  </w:pPr>
                  <w:r w:rsidRPr="008861A7">
                    <w:rPr>
                      <w:noProof/>
                    </w:rPr>
                    <w:t>[</w:t>
                  </w:r>
                  <w:r w:rsidRPr="008861A7">
                    <w:rPr>
                      <w:i/>
                      <w:iCs/>
                      <w:noProof/>
                    </w:rPr>
                    <w:t>Information on the principal adverse</w:t>
                  </w:r>
                  <w:r w:rsidR="00493AE0" w:rsidRPr="008861A7">
                    <w:rPr>
                      <w:i/>
                      <w:iCs/>
                      <w:noProof/>
                    </w:rPr>
                    <w:t xml:space="preserve"> impacts on</w:t>
                  </w:r>
                  <w:r w:rsidRPr="008861A7">
                    <w:rPr>
                      <w:i/>
                      <w:iCs/>
                      <w:noProof/>
                    </w:rPr>
                    <w:t xml:space="preserve"> sustainability </w:t>
                  </w:r>
                  <w:r w:rsidR="00493AE0" w:rsidRPr="008861A7">
                    <w:rPr>
                      <w:i/>
                      <w:iCs/>
                      <w:noProof/>
                    </w:rPr>
                    <w:t>factors</w:t>
                  </w:r>
                  <w:r w:rsidRPr="008861A7">
                    <w:rPr>
                      <w:i/>
                      <w:iCs/>
                      <w:noProof/>
                    </w:rPr>
                    <w:t xml:space="preserve"> referred to in Article </w:t>
                  </w:r>
                  <w:r w:rsidR="00730136" w:rsidRPr="008861A7">
                    <w:rPr>
                      <w:i/>
                      <w:iCs/>
                      <w:noProof/>
                    </w:rPr>
                    <w:t>6</w:t>
                  </w:r>
                  <w:r w:rsidRPr="008861A7">
                    <w:rPr>
                      <w:i/>
                      <w:iCs/>
                      <w:noProof/>
                    </w:rPr>
                    <w:t>(1)</w:t>
                  </w:r>
                  <w:r w:rsidR="00730136" w:rsidRPr="008861A7">
                    <w:rPr>
                      <w:i/>
                      <w:iCs/>
                      <w:noProof/>
                    </w:rPr>
                    <w:t xml:space="preserve">, point </w:t>
                  </w:r>
                  <w:r w:rsidRPr="008861A7">
                    <w:rPr>
                      <w:i/>
                      <w:iCs/>
                      <w:noProof/>
                    </w:rPr>
                    <w:t>(</w:t>
                  </w:r>
                  <w:r w:rsidR="00E72E90" w:rsidRPr="008861A7">
                    <w:rPr>
                      <w:i/>
                      <w:iCs/>
                      <w:noProof/>
                    </w:rPr>
                    <w:t>b</w:t>
                  </w:r>
                  <w:r w:rsidRPr="008861A7">
                    <w:rPr>
                      <w:i/>
                      <w:iCs/>
                      <w:noProof/>
                    </w:rPr>
                    <w:t>)</w:t>
                  </w:r>
                  <w:r w:rsidR="00730136" w:rsidRPr="008861A7">
                    <w:rPr>
                      <w:i/>
                      <w:iCs/>
                      <w:noProof/>
                    </w:rPr>
                    <w:t>,</w:t>
                  </w:r>
                  <w:r w:rsidRPr="008861A7">
                    <w:rPr>
                      <w:i/>
                      <w:iCs/>
                      <w:noProof/>
                    </w:rPr>
                    <w:t xml:space="preserve"> in the format in Table 3</w:t>
                  </w:r>
                  <w:r w:rsidRPr="008861A7">
                    <w:rPr>
                      <w:noProof/>
                    </w:rPr>
                    <w:t>]</w:t>
                  </w:r>
                </w:p>
              </w:tc>
            </w:tr>
            <w:tr w:rsidR="001D3001" w:rsidRPr="008861A7" w14:paraId="741B9EA4" w14:textId="77777777" w:rsidTr="00E72E90">
              <w:tc>
                <w:tcPr>
                  <w:tcW w:w="14042" w:type="dxa"/>
                  <w:gridSpan w:val="7"/>
                  <w:tcBorders>
                    <w:top w:val="single" w:sz="4" w:space="0" w:color="auto"/>
                    <w:left w:val="single" w:sz="4" w:space="0" w:color="auto"/>
                    <w:bottom w:val="single" w:sz="4" w:space="0" w:color="auto"/>
                    <w:right w:val="single" w:sz="4" w:space="0" w:color="auto"/>
                  </w:tcBorders>
                </w:tcPr>
                <w:p w14:paraId="426D3F21" w14:textId="41C8DB13" w:rsidR="001D3001" w:rsidRPr="008861A7" w:rsidDel="00E627B0" w:rsidRDefault="001D3001" w:rsidP="002047F4">
                  <w:pPr>
                    <w:spacing w:after="0"/>
                    <w:rPr>
                      <w:noProof/>
                    </w:rPr>
                  </w:pPr>
                  <w:r w:rsidRPr="008861A7">
                    <w:rPr>
                      <w:noProof/>
                    </w:rPr>
                    <w:t>[</w:t>
                  </w:r>
                  <w:r w:rsidRPr="008861A7">
                    <w:rPr>
                      <w:i/>
                      <w:iCs/>
                      <w:noProof/>
                    </w:rPr>
                    <w:t xml:space="preserve">Information on any other adverse </w:t>
                  </w:r>
                  <w:r w:rsidR="00493AE0" w:rsidRPr="008861A7">
                    <w:rPr>
                      <w:i/>
                      <w:iCs/>
                      <w:noProof/>
                    </w:rPr>
                    <w:t xml:space="preserve">impacts on </w:t>
                  </w:r>
                  <w:r w:rsidRPr="008861A7">
                    <w:rPr>
                      <w:i/>
                      <w:iCs/>
                      <w:noProof/>
                    </w:rPr>
                    <w:t xml:space="preserve">sustainability </w:t>
                  </w:r>
                  <w:r w:rsidR="00493AE0" w:rsidRPr="008861A7">
                    <w:rPr>
                      <w:i/>
                      <w:iCs/>
                      <w:noProof/>
                    </w:rPr>
                    <w:t>factors</w:t>
                  </w:r>
                  <w:r w:rsidRPr="008861A7">
                    <w:rPr>
                      <w:i/>
                      <w:iCs/>
                      <w:noProof/>
                    </w:rPr>
                    <w:t xml:space="preserve"> used to identify and assess additional principal adverse impacts on a sustainability factor referred to in Article </w:t>
                  </w:r>
                  <w:r w:rsidR="00730136" w:rsidRPr="008861A7">
                    <w:rPr>
                      <w:i/>
                      <w:iCs/>
                      <w:noProof/>
                    </w:rPr>
                    <w:t>6</w:t>
                  </w:r>
                  <w:r w:rsidRPr="008861A7">
                    <w:rPr>
                      <w:i/>
                      <w:iCs/>
                      <w:noProof/>
                    </w:rPr>
                    <w:t>(1</w:t>
                  </w:r>
                  <w:r w:rsidR="002047F4">
                    <w:rPr>
                      <w:i/>
                      <w:iCs/>
                      <w:noProof/>
                    </w:rPr>
                    <w:t>)</w:t>
                  </w:r>
                  <w:r w:rsidR="00730136" w:rsidRPr="008861A7">
                    <w:rPr>
                      <w:i/>
                      <w:iCs/>
                      <w:noProof/>
                    </w:rPr>
                    <w:t xml:space="preserve">, point </w:t>
                  </w:r>
                  <w:r w:rsidRPr="008861A7">
                    <w:rPr>
                      <w:i/>
                      <w:iCs/>
                      <w:noProof/>
                    </w:rPr>
                    <w:t>(</w:t>
                  </w:r>
                  <w:r w:rsidR="00E72E90" w:rsidRPr="008861A7">
                    <w:rPr>
                      <w:i/>
                      <w:iCs/>
                      <w:noProof/>
                    </w:rPr>
                    <w:t>c</w:t>
                  </w:r>
                  <w:r w:rsidRPr="008861A7">
                    <w:rPr>
                      <w:i/>
                      <w:iCs/>
                      <w:noProof/>
                    </w:rPr>
                    <w:t>)</w:t>
                  </w:r>
                  <w:r w:rsidR="00730136" w:rsidRPr="008861A7">
                    <w:rPr>
                      <w:i/>
                      <w:iCs/>
                      <w:noProof/>
                    </w:rPr>
                    <w:t>,</w:t>
                  </w:r>
                  <w:r w:rsidR="00E72E90" w:rsidRPr="008861A7">
                    <w:rPr>
                      <w:i/>
                      <w:iCs/>
                      <w:noProof/>
                    </w:rPr>
                    <w:t xml:space="preserve"> in the format in Table 2 or Table 3</w:t>
                  </w:r>
                  <w:r w:rsidRPr="008861A7">
                    <w:rPr>
                      <w:noProof/>
                    </w:rPr>
                    <w:t>]</w:t>
                  </w:r>
                </w:p>
              </w:tc>
            </w:tr>
            <w:bookmarkEnd w:id="16"/>
          </w:tbl>
          <w:p w14:paraId="62A1E89F" w14:textId="77777777" w:rsidR="001D3001" w:rsidRPr="008861A7" w:rsidRDefault="001D3001" w:rsidP="00477C34">
            <w:pPr>
              <w:spacing w:after="0"/>
              <w:rPr>
                <w:iCs/>
                <w:noProof/>
              </w:rPr>
            </w:pPr>
          </w:p>
        </w:tc>
      </w:tr>
      <w:tr w:rsidR="001D3001" w:rsidRPr="008861A7" w14:paraId="47CE6BB3" w14:textId="77777777" w:rsidTr="00477C34">
        <w:tc>
          <w:tcPr>
            <w:tcW w:w="14268" w:type="dxa"/>
            <w:tcBorders>
              <w:top w:val="single" w:sz="4" w:space="0" w:color="auto"/>
              <w:left w:val="single" w:sz="4" w:space="0" w:color="auto"/>
              <w:bottom w:val="single" w:sz="4" w:space="0" w:color="auto"/>
              <w:right w:val="single" w:sz="4" w:space="0" w:color="auto"/>
            </w:tcBorders>
          </w:tcPr>
          <w:p w14:paraId="7BAB59AE" w14:textId="286E41DA" w:rsidR="001D3001" w:rsidRPr="008861A7" w:rsidRDefault="001D3001" w:rsidP="00477C34">
            <w:pPr>
              <w:spacing w:after="0"/>
              <w:rPr>
                <w:b/>
                <w:bCs/>
                <w:noProof/>
              </w:rPr>
            </w:pPr>
            <w:bookmarkStart w:id="17" w:name="_Hlk61346791"/>
            <w:r w:rsidRPr="008861A7">
              <w:rPr>
                <w:b/>
                <w:bCs/>
                <w:noProof/>
              </w:rPr>
              <w:t>Description of policies</w:t>
            </w:r>
            <w:r w:rsidRPr="008861A7">
              <w:rPr>
                <w:b/>
                <w:bCs/>
                <w:noProof/>
                <w:color w:val="000000"/>
              </w:rPr>
              <w:t xml:space="preserve"> to identify and prioritise </w:t>
            </w:r>
            <w:r w:rsidRPr="008861A7">
              <w:rPr>
                <w:b/>
                <w:bCs/>
                <w:noProof/>
              </w:rPr>
              <w:t xml:space="preserve">principal adverse </w:t>
            </w:r>
            <w:r w:rsidR="00493AE0" w:rsidRPr="008861A7">
              <w:rPr>
                <w:b/>
                <w:bCs/>
                <w:noProof/>
              </w:rPr>
              <w:t xml:space="preserve">impacts on </w:t>
            </w:r>
            <w:r w:rsidRPr="008861A7">
              <w:rPr>
                <w:b/>
                <w:bCs/>
                <w:noProof/>
              </w:rPr>
              <w:t>sustainability</w:t>
            </w:r>
            <w:r w:rsidR="00493AE0" w:rsidRPr="008861A7">
              <w:rPr>
                <w:b/>
                <w:bCs/>
                <w:noProof/>
              </w:rPr>
              <w:t xml:space="preserve"> factors</w:t>
            </w:r>
          </w:p>
          <w:p w14:paraId="779C7200" w14:textId="7E65E5A7" w:rsidR="001D3001" w:rsidRPr="008861A7" w:rsidRDefault="001D3001" w:rsidP="00730136">
            <w:pPr>
              <w:spacing w:after="0"/>
              <w:rPr>
                <w:iCs/>
                <w:noProof/>
              </w:rPr>
            </w:pPr>
            <w:r w:rsidRPr="008861A7">
              <w:rPr>
                <w:bCs/>
                <w:noProof/>
              </w:rPr>
              <w:t>[</w:t>
            </w:r>
            <w:r w:rsidRPr="008861A7">
              <w:rPr>
                <w:bCs/>
                <w:i/>
                <w:iCs/>
                <w:noProof/>
              </w:rPr>
              <w:t xml:space="preserve">Information referred to in Article </w:t>
            </w:r>
            <w:r w:rsidR="00730136" w:rsidRPr="008861A7">
              <w:rPr>
                <w:bCs/>
                <w:i/>
                <w:iCs/>
                <w:noProof/>
              </w:rPr>
              <w:t>7</w:t>
            </w:r>
            <w:r w:rsidRPr="008861A7">
              <w:rPr>
                <w:bCs/>
                <w:noProof/>
              </w:rPr>
              <w:t xml:space="preserve">] </w:t>
            </w:r>
          </w:p>
        </w:tc>
      </w:tr>
      <w:tr w:rsidR="001D3001" w:rsidRPr="008861A7" w14:paraId="29469C90" w14:textId="77777777" w:rsidTr="00477C34">
        <w:tc>
          <w:tcPr>
            <w:tcW w:w="14268" w:type="dxa"/>
            <w:shd w:val="clear" w:color="auto" w:fill="auto"/>
          </w:tcPr>
          <w:p w14:paraId="55069C0D" w14:textId="77777777" w:rsidR="001D3001" w:rsidRPr="008861A7" w:rsidRDefault="001D3001" w:rsidP="00477C34">
            <w:pPr>
              <w:spacing w:after="0"/>
              <w:rPr>
                <w:b/>
                <w:noProof/>
              </w:rPr>
            </w:pPr>
            <w:r w:rsidRPr="008861A7">
              <w:rPr>
                <w:b/>
                <w:noProof/>
              </w:rPr>
              <w:t>Engagement policies</w:t>
            </w:r>
          </w:p>
          <w:p w14:paraId="799D7962" w14:textId="327E8399" w:rsidR="001D3001" w:rsidRPr="008861A7" w:rsidRDefault="001D3001" w:rsidP="00730136">
            <w:pPr>
              <w:spacing w:after="0"/>
              <w:rPr>
                <w:b/>
                <w:noProof/>
              </w:rPr>
            </w:pPr>
            <w:r w:rsidRPr="008861A7">
              <w:rPr>
                <w:bCs/>
                <w:noProof/>
              </w:rPr>
              <w:t>[</w:t>
            </w:r>
            <w:r w:rsidRPr="008861A7">
              <w:rPr>
                <w:bCs/>
                <w:i/>
                <w:iCs/>
                <w:noProof/>
              </w:rPr>
              <w:t xml:space="preserve">Information referred to in Article </w:t>
            </w:r>
            <w:r w:rsidR="00730136" w:rsidRPr="008861A7">
              <w:rPr>
                <w:bCs/>
                <w:i/>
                <w:iCs/>
                <w:noProof/>
              </w:rPr>
              <w:t>8</w:t>
            </w:r>
            <w:r w:rsidRPr="008861A7">
              <w:rPr>
                <w:bCs/>
                <w:noProof/>
              </w:rPr>
              <w:t xml:space="preserve">] </w:t>
            </w:r>
          </w:p>
        </w:tc>
      </w:tr>
      <w:tr w:rsidR="001D3001" w:rsidRPr="008861A7" w14:paraId="56955735" w14:textId="77777777" w:rsidTr="00477C34">
        <w:tc>
          <w:tcPr>
            <w:tcW w:w="14268" w:type="dxa"/>
            <w:tcBorders>
              <w:top w:val="single" w:sz="4" w:space="0" w:color="auto"/>
              <w:left w:val="single" w:sz="4" w:space="0" w:color="auto"/>
              <w:bottom w:val="single" w:sz="4" w:space="0" w:color="auto"/>
              <w:right w:val="single" w:sz="4" w:space="0" w:color="auto"/>
            </w:tcBorders>
          </w:tcPr>
          <w:p w14:paraId="14F112D0" w14:textId="77777777" w:rsidR="001D3001" w:rsidRPr="008861A7" w:rsidRDefault="001D3001" w:rsidP="00477C34">
            <w:pPr>
              <w:spacing w:after="0"/>
              <w:rPr>
                <w:b/>
                <w:bCs/>
                <w:noProof/>
              </w:rPr>
            </w:pPr>
            <w:r w:rsidRPr="008861A7">
              <w:rPr>
                <w:b/>
                <w:bCs/>
                <w:noProof/>
              </w:rPr>
              <w:t>References to international standards</w:t>
            </w:r>
          </w:p>
          <w:p w14:paraId="7F6B6883" w14:textId="14EBE387" w:rsidR="001D3001" w:rsidRPr="008861A7" w:rsidRDefault="001D3001" w:rsidP="00730136">
            <w:pPr>
              <w:spacing w:after="0"/>
              <w:rPr>
                <w:iCs/>
                <w:noProof/>
              </w:rPr>
            </w:pPr>
            <w:r w:rsidRPr="008861A7">
              <w:rPr>
                <w:bCs/>
                <w:noProof/>
              </w:rPr>
              <w:t>[</w:t>
            </w:r>
            <w:r w:rsidRPr="008861A7">
              <w:rPr>
                <w:bCs/>
                <w:i/>
                <w:iCs/>
                <w:noProof/>
              </w:rPr>
              <w:t xml:space="preserve">Information referred to in Article </w:t>
            </w:r>
            <w:r w:rsidR="00730136" w:rsidRPr="008861A7">
              <w:rPr>
                <w:bCs/>
                <w:i/>
                <w:iCs/>
                <w:noProof/>
              </w:rPr>
              <w:t>9</w:t>
            </w:r>
            <w:r w:rsidRPr="008861A7">
              <w:rPr>
                <w:bCs/>
                <w:noProof/>
              </w:rPr>
              <w:t xml:space="preserve">] </w:t>
            </w:r>
          </w:p>
        </w:tc>
      </w:tr>
      <w:bookmarkEnd w:id="17"/>
      <w:tr w:rsidR="001D3001" w:rsidRPr="008861A7" w14:paraId="34689C2C" w14:textId="77777777" w:rsidTr="00477C34">
        <w:tc>
          <w:tcPr>
            <w:tcW w:w="14268" w:type="dxa"/>
            <w:tcBorders>
              <w:top w:val="single" w:sz="4" w:space="0" w:color="auto"/>
              <w:left w:val="single" w:sz="4" w:space="0" w:color="auto"/>
              <w:bottom w:val="single" w:sz="4" w:space="0" w:color="auto"/>
              <w:right w:val="single" w:sz="4" w:space="0" w:color="auto"/>
            </w:tcBorders>
          </w:tcPr>
          <w:p w14:paraId="3A3F8291" w14:textId="77777777" w:rsidR="001D3001" w:rsidRPr="008861A7" w:rsidRDefault="001D3001" w:rsidP="00477C34">
            <w:pPr>
              <w:spacing w:after="0"/>
              <w:rPr>
                <w:b/>
                <w:bCs/>
                <w:noProof/>
              </w:rPr>
            </w:pPr>
            <w:r w:rsidRPr="008861A7">
              <w:rPr>
                <w:b/>
                <w:bCs/>
                <w:noProof/>
              </w:rPr>
              <w:t>Historical comparison</w:t>
            </w:r>
          </w:p>
          <w:p w14:paraId="3180C73F" w14:textId="53E7EA95" w:rsidR="001D3001" w:rsidRPr="008861A7" w:rsidRDefault="001D3001" w:rsidP="00E72E90">
            <w:pPr>
              <w:spacing w:after="0"/>
              <w:rPr>
                <w:bCs/>
                <w:noProof/>
              </w:rPr>
            </w:pPr>
            <w:r w:rsidRPr="008861A7">
              <w:rPr>
                <w:bCs/>
                <w:noProof/>
              </w:rPr>
              <w:t>[</w:t>
            </w:r>
            <w:r w:rsidRPr="008861A7">
              <w:rPr>
                <w:bCs/>
                <w:i/>
                <w:iCs/>
                <w:noProof/>
              </w:rPr>
              <w:t xml:space="preserve">Information referred to in Article </w:t>
            </w:r>
            <w:r w:rsidR="00730136" w:rsidRPr="008861A7">
              <w:rPr>
                <w:bCs/>
                <w:i/>
                <w:iCs/>
                <w:noProof/>
              </w:rPr>
              <w:t>10</w:t>
            </w:r>
            <w:r w:rsidRPr="008861A7">
              <w:rPr>
                <w:bCs/>
                <w:noProof/>
              </w:rPr>
              <w:t>]</w:t>
            </w:r>
          </w:p>
        </w:tc>
      </w:tr>
    </w:tbl>
    <w:p w14:paraId="2C3C071F" w14:textId="77777777" w:rsidR="001D3001" w:rsidRPr="008861A7" w:rsidRDefault="001D3001" w:rsidP="001D3001">
      <w:pPr>
        <w:jc w:val="center"/>
        <w:rPr>
          <w:rFonts w:eastAsia="Calibri"/>
          <w:i/>
          <w:iCs/>
          <w:noProof/>
        </w:rPr>
      </w:pPr>
    </w:p>
    <w:p w14:paraId="15EA0083" w14:textId="77777777" w:rsidR="001D3001" w:rsidRPr="008861A7" w:rsidRDefault="001D3001" w:rsidP="001D3001">
      <w:pPr>
        <w:spacing w:after="0"/>
        <w:jc w:val="center"/>
        <w:rPr>
          <w:rFonts w:eastAsia="Calibri"/>
          <w:b/>
          <w:bCs/>
          <w:noProof/>
        </w:rPr>
      </w:pPr>
      <w:r w:rsidRPr="008861A7">
        <w:rPr>
          <w:rFonts w:eastAsia="Calibri"/>
          <w:i/>
          <w:iCs/>
          <w:noProof/>
        </w:rPr>
        <w:t>Table 2</w:t>
      </w:r>
    </w:p>
    <w:p w14:paraId="4D2269AC" w14:textId="77777777" w:rsidR="001D3001" w:rsidRPr="008861A7" w:rsidRDefault="001D3001" w:rsidP="001D3001">
      <w:pPr>
        <w:spacing w:after="0"/>
        <w:jc w:val="center"/>
        <w:rPr>
          <w:rFonts w:eastAsia="Calibri"/>
          <w:b/>
          <w:bCs/>
          <w:noProof/>
        </w:rPr>
      </w:pPr>
      <w:r w:rsidRPr="008861A7">
        <w:rPr>
          <w:rFonts w:eastAsia="Calibri"/>
          <w:b/>
          <w:bCs/>
          <w:noProof/>
        </w:rPr>
        <w:t xml:space="preserve"> Additional climate and other environment-related indicators</w:t>
      </w:r>
    </w:p>
    <w:p w14:paraId="3C3CBB49" w14:textId="77777777" w:rsidR="001D3001" w:rsidRPr="008861A7" w:rsidRDefault="001D3001" w:rsidP="001D3001">
      <w:pPr>
        <w:spacing w:after="0"/>
        <w:rPr>
          <w:rFonts w:eastAsia="Calibri"/>
          <w:noProof/>
        </w:rPr>
      </w:pPr>
    </w:p>
    <w:tbl>
      <w:tblPr>
        <w:tblStyle w:val="TableGrid2"/>
        <w:tblW w:w="13948" w:type="dxa"/>
        <w:tblLook w:val="04A0" w:firstRow="1" w:lastRow="0" w:firstColumn="1" w:lastColumn="0" w:noHBand="0" w:noVBand="1"/>
      </w:tblPr>
      <w:tblGrid>
        <w:gridCol w:w="1811"/>
        <w:gridCol w:w="9472"/>
        <w:gridCol w:w="2665"/>
      </w:tblGrid>
      <w:tr w:rsidR="001D3001" w:rsidRPr="008861A7" w14:paraId="1023CD92" w14:textId="77777777" w:rsidTr="00E72E90">
        <w:tc>
          <w:tcPr>
            <w:tcW w:w="1811" w:type="dxa"/>
            <w:tcBorders>
              <w:top w:val="single" w:sz="4" w:space="0" w:color="auto"/>
              <w:left w:val="single" w:sz="4" w:space="0" w:color="auto"/>
              <w:bottom w:val="single" w:sz="4" w:space="0" w:color="auto"/>
              <w:right w:val="single" w:sz="4" w:space="0" w:color="auto"/>
            </w:tcBorders>
            <w:hideMark/>
          </w:tcPr>
          <w:p w14:paraId="00E9A428" w14:textId="77777777" w:rsidR="001D3001" w:rsidRPr="008861A7" w:rsidRDefault="001D3001" w:rsidP="00477C34">
            <w:pPr>
              <w:spacing w:after="0"/>
              <w:jc w:val="center"/>
              <w:rPr>
                <w:b/>
                <w:noProof/>
              </w:rPr>
            </w:pPr>
            <w:r w:rsidRPr="008861A7">
              <w:rPr>
                <w:b/>
                <w:noProof/>
              </w:rPr>
              <w:t>Adverse sustainability impact</w:t>
            </w:r>
          </w:p>
        </w:tc>
        <w:tc>
          <w:tcPr>
            <w:tcW w:w="9472" w:type="dxa"/>
            <w:tcBorders>
              <w:top w:val="single" w:sz="4" w:space="0" w:color="auto"/>
              <w:left w:val="single" w:sz="4" w:space="0" w:color="auto"/>
              <w:bottom w:val="single" w:sz="4" w:space="0" w:color="auto"/>
              <w:right w:val="single" w:sz="4" w:space="0" w:color="auto"/>
            </w:tcBorders>
            <w:hideMark/>
          </w:tcPr>
          <w:p w14:paraId="1E4B54B2" w14:textId="4766B1B7" w:rsidR="001D3001" w:rsidRPr="008861A7" w:rsidRDefault="001D3001" w:rsidP="00477C34">
            <w:pPr>
              <w:spacing w:after="0"/>
              <w:jc w:val="center"/>
              <w:rPr>
                <w:b/>
                <w:noProof/>
              </w:rPr>
            </w:pPr>
            <w:r w:rsidRPr="008861A7">
              <w:rPr>
                <w:b/>
                <w:noProof/>
              </w:rPr>
              <w:t>Adverse impact</w:t>
            </w:r>
            <w:r w:rsidR="008C1110" w:rsidRPr="008861A7">
              <w:rPr>
                <w:b/>
                <w:noProof/>
              </w:rPr>
              <w:t xml:space="preserve"> on sustainability factors</w:t>
            </w:r>
          </w:p>
          <w:p w14:paraId="4AFCF30D" w14:textId="77777777" w:rsidR="001D3001" w:rsidRPr="008861A7" w:rsidRDefault="001D3001" w:rsidP="00477C34">
            <w:pPr>
              <w:spacing w:after="0"/>
              <w:jc w:val="center"/>
              <w:rPr>
                <w:b/>
                <w:noProof/>
              </w:rPr>
            </w:pPr>
            <w:r w:rsidRPr="008861A7">
              <w:rPr>
                <w:b/>
                <w:noProof/>
              </w:rPr>
              <w:t xml:space="preserve"> (qualitative or quantitative)</w:t>
            </w:r>
          </w:p>
        </w:tc>
        <w:tc>
          <w:tcPr>
            <w:tcW w:w="2665" w:type="dxa"/>
            <w:tcBorders>
              <w:top w:val="single" w:sz="4" w:space="0" w:color="auto"/>
              <w:left w:val="single" w:sz="4" w:space="0" w:color="auto"/>
              <w:bottom w:val="single" w:sz="4" w:space="0" w:color="auto"/>
              <w:right w:val="single" w:sz="4" w:space="0" w:color="auto"/>
            </w:tcBorders>
            <w:hideMark/>
          </w:tcPr>
          <w:p w14:paraId="65051C84" w14:textId="77777777" w:rsidR="001D3001" w:rsidRPr="008861A7" w:rsidRDefault="001D3001" w:rsidP="00477C34">
            <w:pPr>
              <w:spacing w:after="0"/>
              <w:jc w:val="center"/>
              <w:rPr>
                <w:b/>
                <w:noProof/>
              </w:rPr>
            </w:pPr>
            <w:r w:rsidRPr="008861A7">
              <w:rPr>
                <w:b/>
                <w:noProof/>
              </w:rPr>
              <w:t xml:space="preserve">Metric </w:t>
            </w:r>
          </w:p>
        </w:tc>
      </w:tr>
      <w:tr w:rsidR="001D3001" w:rsidRPr="008861A7" w14:paraId="2781C297" w14:textId="77777777" w:rsidTr="00E72E90">
        <w:trPr>
          <w:trHeight w:val="906"/>
        </w:trPr>
        <w:tc>
          <w:tcPr>
            <w:tcW w:w="13948" w:type="dxa"/>
            <w:gridSpan w:val="3"/>
            <w:tcBorders>
              <w:top w:val="single" w:sz="4" w:space="0" w:color="auto"/>
              <w:left w:val="single" w:sz="4" w:space="0" w:color="auto"/>
              <w:bottom w:val="single" w:sz="4" w:space="0" w:color="auto"/>
              <w:right w:val="single" w:sz="4" w:space="0" w:color="auto"/>
            </w:tcBorders>
            <w:vAlign w:val="center"/>
          </w:tcPr>
          <w:p w14:paraId="489216CE" w14:textId="77777777" w:rsidR="001D3001" w:rsidRPr="008861A7" w:rsidRDefault="001D3001" w:rsidP="00477C34">
            <w:pPr>
              <w:spacing w:after="0"/>
              <w:jc w:val="center"/>
              <w:rPr>
                <w:b/>
                <w:noProof/>
              </w:rPr>
            </w:pPr>
            <w:r w:rsidRPr="008861A7">
              <w:rPr>
                <w:b/>
                <w:noProof/>
              </w:rPr>
              <w:t>Indicators applicable to investments in investee companies</w:t>
            </w:r>
          </w:p>
        </w:tc>
      </w:tr>
      <w:tr w:rsidR="001D3001" w:rsidRPr="008861A7" w14:paraId="48597852" w14:textId="77777777" w:rsidTr="00E72E90">
        <w:trPr>
          <w:trHeight w:val="906"/>
        </w:trPr>
        <w:tc>
          <w:tcPr>
            <w:tcW w:w="13948" w:type="dxa"/>
            <w:gridSpan w:val="3"/>
            <w:tcBorders>
              <w:top w:val="single" w:sz="4" w:space="0" w:color="auto"/>
              <w:left w:val="single" w:sz="4" w:space="0" w:color="auto"/>
              <w:bottom w:val="single" w:sz="4" w:space="0" w:color="auto"/>
              <w:right w:val="single" w:sz="4" w:space="0" w:color="auto"/>
            </w:tcBorders>
            <w:vAlign w:val="center"/>
            <w:hideMark/>
          </w:tcPr>
          <w:p w14:paraId="3812E7F5" w14:textId="77777777" w:rsidR="001D3001" w:rsidRPr="008861A7" w:rsidRDefault="001D3001" w:rsidP="00477C34">
            <w:pPr>
              <w:spacing w:after="0"/>
              <w:jc w:val="center"/>
              <w:rPr>
                <w:b/>
                <w:noProof/>
              </w:rPr>
            </w:pPr>
            <w:r w:rsidRPr="008861A7">
              <w:rPr>
                <w:b/>
                <w:noProof/>
              </w:rPr>
              <w:t>CLIMATE AND OTHER ENVIRONMENT-RELATED INDICATORS</w:t>
            </w:r>
          </w:p>
        </w:tc>
      </w:tr>
      <w:tr w:rsidR="001D3001" w:rsidRPr="008861A7" w14:paraId="21AEC7B3" w14:textId="77777777" w:rsidTr="00E72E90">
        <w:tc>
          <w:tcPr>
            <w:tcW w:w="1811" w:type="dxa"/>
            <w:vMerge w:val="restart"/>
            <w:tcBorders>
              <w:top w:val="single" w:sz="4" w:space="0" w:color="auto"/>
              <w:left w:val="single" w:sz="4" w:space="0" w:color="auto"/>
              <w:bottom w:val="single" w:sz="4" w:space="0" w:color="auto"/>
              <w:right w:val="single" w:sz="4" w:space="0" w:color="auto"/>
            </w:tcBorders>
            <w:hideMark/>
          </w:tcPr>
          <w:p w14:paraId="2B69C538" w14:textId="77777777" w:rsidR="001D3001" w:rsidRPr="000E4AE8" w:rsidRDefault="001D3001" w:rsidP="00477C34">
            <w:pPr>
              <w:spacing w:after="0"/>
              <w:rPr>
                <w:bCs/>
                <w:noProof/>
                <w:szCs w:val="24"/>
              </w:rPr>
            </w:pPr>
            <w:r w:rsidRPr="000E4AE8">
              <w:rPr>
                <w:noProof/>
                <w:szCs w:val="24"/>
              </w:rPr>
              <w:t>Emissions</w:t>
            </w:r>
          </w:p>
        </w:tc>
        <w:tc>
          <w:tcPr>
            <w:tcW w:w="9472" w:type="dxa"/>
            <w:tcBorders>
              <w:top w:val="single" w:sz="4" w:space="0" w:color="auto"/>
              <w:left w:val="single" w:sz="4" w:space="0" w:color="auto"/>
              <w:bottom w:val="single" w:sz="4" w:space="0" w:color="auto"/>
              <w:right w:val="single" w:sz="4" w:space="0" w:color="auto"/>
            </w:tcBorders>
            <w:hideMark/>
          </w:tcPr>
          <w:p w14:paraId="13BFD09C" w14:textId="77777777" w:rsidR="001D3001" w:rsidRPr="000E4AE8" w:rsidRDefault="001D3001" w:rsidP="006F731C">
            <w:pPr>
              <w:numPr>
                <w:ilvl w:val="0"/>
                <w:numId w:val="2"/>
              </w:numPr>
              <w:spacing w:before="0" w:after="0"/>
              <w:rPr>
                <w:bCs/>
                <w:noProof/>
                <w:szCs w:val="24"/>
              </w:rPr>
            </w:pPr>
            <w:r w:rsidRPr="000E4AE8">
              <w:rPr>
                <w:noProof/>
                <w:szCs w:val="24"/>
              </w:rPr>
              <w:t>Emissions of inorganic pollutants</w:t>
            </w:r>
          </w:p>
        </w:tc>
        <w:tc>
          <w:tcPr>
            <w:tcW w:w="2665" w:type="dxa"/>
            <w:tcBorders>
              <w:top w:val="single" w:sz="4" w:space="0" w:color="auto"/>
              <w:left w:val="single" w:sz="4" w:space="0" w:color="auto"/>
              <w:bottom w:val="single" w:sz="4" w:space="0" w:color="auto"/>
              <w:right w:val="single" w:sz="4" w:space="0" w:color="auto"/>
            </w:tcBorders>
            <w:hideMark/>
          </w:tcPr>
          <w:p w14:paraId="40B2AD4A" w14:textId="77777777" w:rsidR="001D3001" w:rsidRPr="000E4AE8" w:rsidRDefault="001D3001" w:rsidP="001D3001">
            <w:pPr>
              <w:spacing w:after="0"/>
              <w:rPr>
                <w:noProof/>
                <w:szCs w:val="24"/>
              </w:rPr>
            </w:pPr>
            <w:r w:rsidRPr="000E4AE8">
              <w:rPr>
                <w:noProof/>
                <w:szCs w:val="24"/>
              </w:rPr>
              <w:t>Tonnes of inorganic pollutants equivalent per million EUR invested, expressed as a weighted average</w:t>
            </w:r>
          </w:p>
        </w:tc>
      </w:tr>
      <w:tr w:rsidR="001D3001" w:rsidRPr="008861A7" w14:paraId="2BD9B6C6"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492FF35F"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4F985914" w14:textId="77777777" w:rsidR="001D3001" w:rsidRPr="000E4AE8" w:rsidRDefault="001D3001" w:rsidP="006F731C">
            <w:pPr>
              <w:numPr>
                <w:ilvl w:val="0"/>
                <w:numId w:val="2"/>
              </w:numPr>
              <w:spacing w:before="0" w:after="0"/>
              <w:rPr>
                <w:bCs/>
                <w:noProof/>
                <w:szCs w:val="24"/>
              </w:rPr>
            </w:pPr>
            <w:r w:rsidRPr="000E4AE8">
              <w:rPr>
                <w:noProof/>
                <w:szCs w:val="24"/>
              </w:rPr>
              <w:t xml:space="preserve">Emissions of air pollutants </w:t>
            </w:r>
          </w:p>
        </w:tc>
        <w:tc>
          <w:tcPr>
            <w:tcW w:w="2665" w:type="dxa"/>
            <w:tcBorders>
              <w:top w:val="single" w:sz="4" w:space="0" w:color="auto"/>
              <w:left w:val="single" w:sz="4" w:space="0" w:color="auto"/>
              <w:bottom w:val="single" w:sz="4" w:space="0" w:color="auto"/>
              <w:right w:val="single" w:sz="4" w:space="0" w:color="auto"/>
            </w:tcBorders>
            <w:hideMark/>
          </w:tcPr>
          <w:p w14:paraId="229E3EBE" w14:textId="77777777" w:rsidR="001D3001" w:rsidRPr="000E4AE8" w:rsidRDefault="001D3001" w:rsidP="001D3001">
            <w:pPr>
              <w:spacing w:after="0"/>
              <w:rPr>
                <w:noProof/>
                <w:szCs w:val="24"/>
              </w:rPr>
            </w:pPr>
            <w:r w:rsidRPr="000E4AE8">
              <w:rPr>
                <w:noProof/>
                <w:szCs w:val="24"/>
              </w:rPr>
              <w:t>Tonnes of air pollutants equivalent per million EUR invested, expressed as a weighted average</w:t>
            </w:r>
          </w:p>
        </w:tc>
      </w:tr>
      <w:tr w:rsidR="001D3001" w:rsidRPr="008861A7" w14:paraId="0DB07D3C"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5A4582CD"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37B7C724" w14:textId="242C1C27" w:rsidR="001D3001" w:rsidRPr="000E4AE8" w:rsidRDefault="001D3001" w:rsidP="006F731C">
            <w:pPr>
              <w:numPr>
                <w:ilvl w:val="0"/>
                <w:numId w:val="2"/>
              </w:numPr>
              <w:spacing w:before="0" w:after="0"/>
              <w:rPr>
                <w:bCs/>
                <w:noProof/>
                <w:szCs w:val="24"/>
              </w:rPr>
            </w:pPr>
            <w:r w:rsidRPr="000E4AE8">
              <w:rPr>
                <w:noProof/>
                <w:szCs w:val="24"/>
              </w:rPr>
              <w:t>Emissions of ozone</w:t>
            </w:r>
            <w:r w:rsidR="00C06198" w:rsidRPr="000E4AE8">
              <w:rPr>
                <w:noProof/>
                <w:szCs w:val="24"/>
              </w:rPr>
              <w:t>-</w:t>
            </w:r>
            <w:r w:rsidRPr="000E4AE8">
              <w:rPr>
                <w:noProof/>
                <w:szCs w:val="24"/>
              </w:rPr>
              <w:t>depleti</w:t>
            </w:r>
            <w:r w:rsidR="00C06198" w:rsidRPr="000E4AE8">
              <w:rPr>
                <w:noProof/>
                <w:szCs w:val="24"/>
              </w:rPr>
              <w:t>ng</w:t>
            </w:r>
            <w:r w:rsidRPr="000E4AE8">
              <w:rPr>
                <w:noProof/>
                <w:szCs w:val="24"/>
              </w:rPr>
              <w:t xml:space="preserve"> substances </w:t>
            </w:r>
          </w:p>
        </w:tc>
        <w:tc>
          <w:tcPr>
            <w:tcW w:w="2665" w:type="dxa"/>
            <w:tcBorders>
              <w:top w:val="single" w:sz="4" w:space="0" w:color="auto"/>
              <w:left w:val="single" w:sz="4" w:space="0" w:color="auto"/>
              <w:bottom w:val="single" w:sz="4" w:space="0" w:color="auto"/>
              <w:right w:val="single" w:sz="4" w:space="0" w:color="auto"/>
            </w:tcBorders>
            <w:hideMark/>
          </w:tcPr>
          <w:p w14:paraId="205F93A9" w14:textId="02EABA49" w:rsidR="001D3001" w:rsidRPr="000E4AE8" w:rsidRDefault="001D3001" w:rsidP="001D3001">
            <w:pPr>
              <w:spacing w:after="0"/>
              <w:rPr>
                <w:noProof/>
                <w:szCs w:val="24"/>
              </w:rPr>
            </w:pPr>
            <w:r w:rsidRPr="000E4AE8">
              <w:rPr>
                <w:noProof/>
                <w:szCs w:val="24"/>
              </w:rPr>
              <w:t>Tonnes of ozone</w:t>
            </w:r>
            <w:r w:rsidR="00C06198" w:rsidRPr="000E4AE8">
              <w:rPr>
                <w:noProof/>
                <w:szCs w:val="24"/>
              </w:rPr>
              <w:t>-</w:t>
            </w:r>
            <w:r w:rsidRPr="000E4AE8">
              <w:rPr>
                <w:noProof/>
                <w:szCs w:val="24"/>
              </w:rPr>
              <w:t>depleti</w:t>
            </w:r>
            <w:r w:rsidR="00C06198" w:rsidRPr="000E4AE8">
              <w:rPr>
                <w:noProof/>
                <w:szCs w:val="24"/>
              </w:rPr>
              <w:t>ng</w:t>
            </w:r>
            <w:r w:rsidRPr="000E4AE8">
              <w:rPr>
                <w:noProof/>
                <w:szCs w:val="24"/>
              </w:rPr>
              <w:t xml:space="preserve"> substances equivalent per million EUR invested, expressed as a weighted average</w:t>
            </w:r>
          </w:p>
        </w:tc>
      </w:tr>
      <w:tr w:rsidR="001D3001" w:rsidRPr="008861A7" w14:paraId="2BBF317A" w14:textId="77777777" w:rsidTr="00E72E90">
        <w:tc>
          <w:tcPr>
            <w:tcW w:w="0" w:type="auto"/>
            <w:vMerge/>
            <w:tcBorders>
              <w:top w:val="single" w:sz="4" w:space="0" w:color="auto"/>
              <w:left w:val="single" w:sz="4" w:space="0" w:color="auto"/>
              <w:bottom w:val="single" w:sz="4" w:space="0" w:color="auto"/>
              <w:right w:val="single" w:sz="4" w:space="0" w:color="auto"/>
            </w:tcBorders>
            <w:vAlign w:val="center"/>
            <w:hideMark/>
          </w:tcPr>
          <w:p w14:paraId="46C11B2C"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793C3F8C" w14:textId="77777777" w:rsidR="001D3001" w:rsidRPr="000E4AE8" w:rsidRDefault="001D3001" w:rsidP="006F731C">
            <w:pPr>
              <w:numPr>
                <w:ilvl w:val="0"/>
                <w:numId w:val="2"/>
              </w:numPr>
              <w:spacing w:before="0" w:after="0"/>
              <w:rPr>
                <w:bCs/>
                <w:noProof/>
                <w:szCs w:val="24"/>
              </w:rPr>
            </w:pPr>
            <w:r w:rsidRPr="000E4AE8">
              <w:rPr>
                <w:noProof/>
                <w:szCs w:val="24"/>
              </w:rPr>
              <w:t>Investments in companies without carbon emission reduction initiatives</w:t>
            </w:r>
          </w:p>
        </w:tc>
        <w:tc>
          <w:tcPr>
            <w:tcW w:w="2665" w:type="dxa"/>
            <w:tcBorders>
              <w:top w:val="single" w:sz="4" w:space="0" w:color="auto"/>
              <w:left w:val="single" w:sz="4" w:space="0" w:color="auto"/>
              <w:bottom w:val="single" w:sz="4" w:space="0" w:color="auto"/>
              <w:right w:val="single" w:sz="4" w:space="0" w:color="auto"/>
            </w:tcBorders>
            <w:hideMark/>
          </w:tcPr>
          <w:p w14:paraId="175ED287" w14:textId="77777777" w:rsidR="001D3001" w:rsidRPr="000E4AE8" w:rsidRDefault="001D3001" w:rsidP="001D3001">
            <w:pPr>
              <w:spacing w:after="0"/>
              <w:rPr>
                <w:noProof/>
                <w:szCs w:val="24"/>
              </w:rPr>
            </w:pPr>
            <w:r w:rsidRPr="000E4AE8">
              <w:rPr>
                <w:noProof/>
                <w:szCs w:val="24"/>
              </w:rPr>
              <w:t>Share of investments in investee companies without carbon emission reduction initiatives aimed at aligning with the Paris Agreement</w:t>
            </w:r>
          </w:p>
        </w:tc>
      </w:tr>
      <w:tr w:rsidR="001D3001" w:rsidRPr="008861A7" w14:paraId="233FE199" w14:textId="77777777" w:rsidTr="00E72E90">
        <w:tc>
          <w:tcPr>
            <w:tcW w:w="1811" w:type="dxa"/>
            <w:tcBorders>
              <w:top w:val="single" w:sz="4" w:space="0" w:color="auto"/>
              <w:left w:val="single" w:sz="4" w:space="0" w:color="auto"/>
              <w:bottom w:val="single" w:sz="4" w:space="0" w:color="auto"/>
              <w:right w:val="single" w:sz="4" w:space="0" w:color="auto"/>
            </w:tcBorders>
          </w:tcPr>
          <w:p w14:paraId="60D9E425" w14:textId="77777777" w:rsidR="001D3001" w:rsidRPr="000E4AE8" w:rsidRDefault="001D3001" w:rsidP="00477C34">
            <w:pPr>
              <w:spacing w:after="0"/>
              <w:rPr>
                <w:bCs/>
                <w:noProof/>
                <w:szCs w:val="24"/>
              </w:rPr>
            </w:pPr>
            <w:r w:rsidRPr="000E4AE8">
              <w:rPr>
                <w:noProof/>
                <w:szCs w:val="24"/>
              </w:rPr>
              <w:t>Energy performance</w:t>
            </w:r>
          </w:p>
        </w:tc>
        <w:tc>
          <w:tcPr>
            <w:tcW w:w="9472" w:type="dxa"/>
            <w:tcBorders>
              <w:top w:val="single" w:sz="4" w:space="0" w:color="auto"/>
              <w:left w:val="single" w:sz="4" w:space="0" w:color="auto"/>
              <w:bottom w:val="single" w:sz="4" w:space="0" w:color="auto"/>
              <w:right w:val="single" w:sz="4" w:space="0" w:color="auto"/>
            </w:tcBorders>
          </w:tcPr>
          <w:p w14:paraId="22123C94" w14:textId="77777777" w:rsidR="001D3001" w:rsidRPr="000E4AE8" w:rsidRDefault="001D3001" w:rsidP="006F731C">
            <w:pPr>
              <w:numPr>
                <w:ilvl w:val="0"/>
                <w:numId w:val="2"/>
              </w:numPr>
              <w:spacing w:before="0" w:after="0"/>
              <w:jc w:val="left"/>
              <w:rPr>
                <w:bCs/>
                <w:noProof/>
                <w:szCs w:val="24"/>
              </w:rPr>
            </w:pPr>
            <w:r w:rsidRPr="000E4AE8">
              <w:rPr>
                <w:noProof/>
                <w:szCs w:val="24"/>
              </w:rPr>
              <w:t>Breakdown of energy consumption by type of non-renewable sources of energy</w:t>
            </w:r>
          </w:p>
        </w:tc>
        <w:tc>
          <w:tcPr>
            <w:tcW w:w="2665" w:type="dxa"/>
            <w:tcBorders>
              <w:top w:val="single" w:sz="4" w:space="0" w:color="auto"/>
              <w:left w:val="single" w:sz="4" w:space="0" w:color="auto"/>
              <w:bottom w:val="single" w:sz="4" w:space="0" w:color="auto"/>
              <w:right w:val="single" w:sz="4" w:space="0" w:color="auto"/>
            </w:tcBorders>
          </w:tcPr>
          <w:p w14:paraId="30AACB24" w14:textId="77777777" w:rsidR="001D3001" w:rsidRPr="000E4AE8" w:rsidRDefault="001D3001" w:rsidP="001D3001">
            <w:pPr>
              <w:spacing w:after="0"/>
              <w:rPr>
                <w:noProof/>
                <w:szCs w:val="24"/>
              </w:rPr>
            </w:pPr>
            <w:r w:rsidRPr="000E4AE8">
              <w:rPr>
                <w:noProof/>
                <w:szCs w:val="24"/>
              </w:rPr>
              <w:t xml:space="preserve">Share of energy from non-renewable sources used by investee companies broken down by each non-renewable energy source </w:t>
            </w:r>
          </w:p>
        </w:tc>
      </w:tr>
      <w:tr w:rsidR="001D3001" w:rsidRPr="008861A7" w14:paraId="6A64BD76" w14:textId="77777777" w:rsidTr="00E72E90">
        <w:tc>
          <w:tcPr>
            <w:tcW w:w="1811" w:type="dxa"/>
            <w:vMerge w:val="restart"/>
            <w:tcBorders>
              <w:top w:val="single" w:sz="4" w:space="0" w:color="auto"/>
              <w:left w:val="single" w:sz="4" w:space="0" w:color="auto"/>
              <w:right w:val="single" w:sz="4" w:space="0" w:color="auto"/>
            </w:tcBorders>
            <w:hideMark/>
          </w:tcPr>
          <w:p w14:paraId="64BE62ED" w14:textId="77777777" w:rsidR="001D3001" w:rsidRPr="000E4AE8" w:rsidRDefault="001D3001" w:rsidP="00477C34">
            <w:pPr>
              <w:spacing w:after="0"/>
              <w:rPr>
                <w:bCs/>
                <w:noProof/>
                <w:szCs w:val="24"/>
              </w:rPr>
            </w:pPr>
            <w:r w:rsidRPr="000E4AE8">
              <w:rPr>
                <w:noProof/>
                <w:szCs w:val="24"/>
              </w:rPr>
              <w:t>Water, waste and material</w:t>
            </w:r>
          </w:p>
          <w:p w14:paraId="76E60EB6" w14:textId="77777777" w:rsidR="001D3001" w:rsidRPr="000E4AE8" w:rsidRDefault="001D3001" w:rsidP="00477C34">
            <w:pPr>
              <w:spacing w:after="0"/>
              <w:rPr>
                <w:bCs/>
                <w:noProof/>
                <w:szCs w:val="24"/>
              </w:rPr>
            </w:pPr>
            <w:r w:rsidRPr="000E4AE8">
              <w:rPr>
                <w:noProof/>
                <w:szCs w:val="24"/>
              </w:rPr>
              <w:t>emissions</w:t>
            </w:r>
          </w:p>
        </w:tc>
        <w:tc>
          <w:tcPr>
            <w:tcW w:w="9472" w:type="dxa"/>
            <w:tcBorders>
              <w:top w:val="single" w:sz="4" w:space="0" w:color="auto"/>
              <w:left w:val="single" w:sz="4" w:space="0" w:color="auto"/>
              <w:bottom w:val="single" w:sz="4" w:space="0" w:color="auto"/>
              <w:right w:val="single" w:sz="4" w:space="0" w:color="auto"/>
            </w:tcBorders>
            <w:hideMark/>
          </w:tcPr>
          <w:p w14:paraId="72CF5C8B" w14:textId="77777777" w:rsidR="001D3001" w:rsidRPr="000E4AE8" w:rsidRDefault="001D3001" w:rsidP="006F731C">
            <w:pPr>
              <w:pStyle w:val="ListParagraph"/>
              <w:numPr>
                <w:ilvl w:val="0"/>
                <w:numId w:val="2"/>
              </w:numPr>
              <w:spacing w:after="0"/>
              <w:rPr>
                <w:rFonts w:ascii="Times New Roman" w:hAnsi="Times New Roman"/>
                <w:bCs/>
                <w:noProof/>
                <w:sz w:val="24"/>
                <w:szCs w:val="24"/>
              </w:rPr>
            </w:pPr>
            <w:r w:rsidRPr="000E4AE8">
              <w:rPr>
                <w:rFonts w:ascii="Times New Roman" w:hAnsi="Times New Roman"/>
                <w:noProof/>
                <w:sz w:val="24"/>
                <w:szCs w:val="24"/>
              </w:rPr>
              <w:t>Water usage and recycling</w:t>
            </w:r>
          </w:p>
        </w:tc>
        <w:tc>
          <w:tcPr>
            <w:tcW w:w="2665" w:type="dxa"/>
            <w:tcBorders>
              <w:top w:val="single" w:sz="4" w:space="0" w:color="auto"/>
              <w:left w:val="single" w:sz="4" w:space="0" w:color="auto"/>
              <w:bottom w:val="single" w:sz="4" w:space="0" w:color="auto"/>
              <w:right w:val="single" w:sz="4" w:space="0" w:color="auto"/>
            </w:tcBorders>
            <w:hideMark/>
          </w:tcPr>
          <w:p w14:paraId="181E273A" w14:textId="49BC9318" w:rsidR="001D3001" w:rsidRPr="000E4AE8" w:rsidRDefault="001D3001" w:rsidP="00477C34">
            <w:pPr>
              <w:spacing w:after="0"/>
              <w:rPr>
                <w:noProof/>
                <w:szCs w:val="24"/>
              </w:rPr>
            </w:pPr>
            <w:r w:rsidRPr="000E4AE8">
              <w:rPr>
                <w:noProof/>
                <w:szCs w:val="24"/>
              </w:rPr>
              <w:t>1. Average amount of water consumed by the investee companies (in cubic meters) per million EUR of revenue of investee companies</w:t>
            </w:r>
          </w:p>
          <w:p w14:paraId="57D390BE" w14:textId="77777777" w:rsidR="001D3001" w:rsidRPr="000E4AE8" w:rsidRDefault="001D3001" w:rsidP="001D3001">
            <w:pPr>
              <w:spacing w:after="0"/>
              <w:rPr>
                <w:noProof/>
                <w:szCs w:val="24"/>
              </w:rPr>
            </w:pPr>
            <w:r w:rsidRPr="000E4AE8">
              <w:rPr>
                <w:noProof/>
                <w:szCs w:val="24"/>
              </w:rPr>
              <w:t>2. Weighted average percentage of water recycled and reused by investee companies</w:t>
            </w:r>
          </w:p>
        </w:tc>
      </w:tr>
      <w:tr w:rsidR="001D3001" w:rsidRPr="008861A7" w14:paraId="2D2ED81E" w14:textId="77777777" w:rsidTr="00E72E90">
        <w:tc>
          <w:tcPr>
            <w:tcW w:w="0" w:type="auto"/>
            <w:vMerge/>
            <w:tcBorders>
              <w:left w:val="single" w:sz="4" w:space="0" w:color="auto"/>
              <w:right w:val="single" w:sz="4" w:space="0" w:color="auto"/>
            </w:tcBorders>
            <w:vAlign w:val="center"/>
            <w:hideMark/>
          </w:tcPr>
          <w:p w14:paraId="35C53C0C"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6A9D6C94" w14:textId="77777777" w:rsidR="001D3001" w:rsidRPr="000E4AE8" w:rsidRDefault="001D3001" w:rsidP="006F731C">
            <w:pPr>
              <w:pStyle w:val="ListParagraph"/>
              <w:numPr>
                <w:ilvl w:val="0"/>
                <w:numId w:val="2"/>
              </w:numPr>
              <w:spacing w:after="0"/>
              <w:jc w:val="both"/>
              <w:rPr>
                <w:rFonts w:ascii="Times New Roman" w:hAnsi="Times New Roman"/>
                <w:bCs/>
                <w:noProof/>
                <w:sz w:val="24"/>
                <w:szCs w:val="24"/>
              </w:rPr>
            </w:pPr>
            <w:r w:rsidRPr="000E4AE8">
              <w:rPr>
                <w:rFonts w:ascii="Times New Roman" w:hAnsi="Times New Roman"/>
                <w:noProof/>
                <w:sz w:val="24"/>
                <w:szCs w:val="24"/>
              </w:rPr>
              <w:t>Investments in companies without water management policies</w:t>
            </w:r>
          </w:p>
        </w:tc>
        <w:tc>
          <w:tcPr>
            <w:tcW w:w="2665" w:type="dxa"/>
            <w:tcBorders>
              <w:top w:val="single" w:sz="4" w:space="0" w:color="auto"/>
              <w:left w:val="single" w:sz="4" w:space="0" w:color="auto"/>
              <w:bottom w:val="single" w:sz="4" w:space="0" w:color="auto"/>
              <w:right w:val="single" w:sz="4" w:space="0" w:color="auto"/>
            </w:tcBorders>
          </w:tcPr>
          <w:p w14:paraId="345B49E6" w14:textId="77777777" w:rsidR="001D3001" w:rsidRPr="000E4AE8" w:rsidRDefault="001D3001" w:rsidP="001D3001">
            <w:pPr>
              <w:spacing w:after="0"/>
              <w:rPr>
                <w:noProof/>
                <w:szCs w:val="24"/>
              </w:rPr>
            </w:pPr>
            <w:r w:rsidRPr="000E4AE8">
              <w:rPr>
                <w:noProof/>
                <w:szCs w:val="24"/>
              </w:rPr>
              <w:t>Share of investments in investee companies without water management policies</w:t>
            </w:r>
          </w:p>
        </w:tc>
      </w:tr>
      <w:tr w:rsidR="001D3001" w:rsidRPr="008861A7" w14:paraId="6B6753A4" w14:textId="77777777" w:rsidTr="00E72E90">
        <w:tc>
          <w:tcPr>
            <w:tcW w:w="0" w:type="auto"/>
            <w:vMerge/>
            <w:tcBorders>
              <w:left w:val="single" w:sz="4" w:space="0" w:color="auto"/>
              <w:right w:val="single" w:sz="4" w:space="0" w:color="auto"/>
            </w:tcBorders>
            <w:vAlign w:val="center"/>
            <w:hideMark/>
          </w:tcPr>
          <w:p w14:paraId="7925CF63"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3A91F6A9" w14:textId="77777777" w:rsidR="001D3001" w:rsidRPr="000E4AE8" w:rsidRDefault="001D3001" w:rsidP="006F731C">
            <w:pPr>
              <w:numPr>
                <w:ilvl w:val="0"/>
                <w:numId w:val="2"/>
              </w:numPr>
              <w:spacing w:before="0" w:after="0"/>
              <w:rPr>
                <w:bCs/>
                <w:noProof/>
                <w:szCs w:val="24"/>
              </w:rPr>
            </w:pPr>
            <w:r w:rsidRPr="000E4AE8">
              <w:rPr>
                <w:noProof/>
                <w:szCs w:val="24"/>
              </w:rPr>
              <w:t>Exposure to areas of high water stress</w:t>
            </w:r>
          </w:p>
        </w:tc>
        <w:tc>
          <w:tcPr>
            <w:tcW w:w="2665" w:type="dxa"/>
            <w:tcBorders>
              <w:top w:val="single" w:sz="4" w:space="0" w:color="auto"/>
              <w:left w:val="single" w:sz="4" w:space="0" w:color="auto"/>
              <w:bottom w:val="single" w:sz="4" w:space="0" w:color="auto"/>
              <w:right w:val="single" w:sz="4" w:space="0" w:color="auto"/>
            </w:tcBorders>
            <w:hideMark/>
          </w:tcPr>
          <w:p w14:paraId="0CB0883D" w14:textId="77777777" w:rsidR="001D3001" w:rsidRPr="000E4AE8" w:rsidRDefault="001D3001" w:rsidP="001D3001">
            <w:pPr>
              <w:spacing w:after="0"/>
              <w:rPr>
                <w:noProof/>
                <w:szCs w:val="24"/>
              </w:rPr>
            </w:pPr>
            <w:r w:rsidRPr="000E4AE8">
              <w:rPr>
                <w:noProof/>
                <w:szCs w:val="24"/>
              </w:rPr>
              <w:t>Share of investments in investee companies with sites located in areas of high water stress without a water management policy</w:t>
            </w:r>
          </w:p>
        </w:tc>
      </w:tr>
      <w:tr w:rsidR="001D3001" w:rsidRPr="008861A7" w14:paraId="4023C10E" w14:textId="77777777" w:rsidTr="00E72E90">
        <w:tc>
          <w:tcPr>
            <w:tcW w:w="0" w:type="auto"/>
            <w:vMerge/>
            <w:tcBorders>
              <w:left w:val="single" w:sz="4" w:space="0" w:color="auto"/>
              <w:right w:val="single" w:sz="4" w:space="0" w:color="auto"/>
            </w:tcBorders>
            <w:vAlign w:val="center"/>
          </w:tcPr>
          <w:p w14:paraId="76009F5B"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tcPr>
          <w:p w14:paraId="10EE4BBD" w14:textId="77777777" w:rsidR="001D3001" w:rsidRPr="000E4AE8" w:rsidRDefault="001D3001" w:rsidP="006F731C">
            <w:pPr>
              <w:numPr>
                <w:ilvl w:val="0"/>
                <w:numId w:val="2"/>
              </w:numPr>
              <w:spacing w:before="0" w:after="0"/>
              <w:rPr>
                <w:bCs/>
                <w:noProof/>
                <w:szCs w:val="24"/>
              </w:rPr>
            </w:pPr>
            <w:r w:rsidRPr="000E4AE8">
              <w:rPr>
                <w:noProof/>
                <w:szCs w:val="24"/>
              </w:rPr>
              <w:t>Investments in companies producing chemicals</w:t>
            </w:r>
          </w:p>
        </w:tc>
        <w:tc>
          <w:tcPr>
            <w:tcW w:w="2665" w:type="dxa"/>
            <w:tcBorders>
              <w:top w:val="single" w:sz="4" w:space="0" w:color="auto"/>
              <w:left w:val="single" w:sz="4" w:space="0" w:color="auto"/>
              <w:bottom w:val="single" w:sz="4" w:space="0" w:color="auto"/>
              <w:right w:val="single" w:sz="4" w:space="0" w:color="auto"/>
            </w:tcBorders>
          </w:tcPr>
          <w:p w14:paraId="20DC57DF" w14:textId="77777777" w:rsidR="001D3001" w:rsidRPr="000E4AE8" w:rsidRDefault="001D3001" w:rsidP="001D3001">
            <w:pPr>
              <w:spacing w:after="0"/>
              <w:rPr>
                <w:noProof/>
                <w:szCs w:val="24"/>
              </w:rPr>
            </w:pPr>
            <w:r w:rsidRPr="000E4AE8">
              <w:rPr>
                <w:noProof/>
                <w:szCs w:val="24"/>
              </w:rPr>
              <w:t>Share of investments in investee companies the activities of which fall under Division 20.2 of Annex I to Regulation (EC) No 1893/2006</w:t>
            </w:r>
          </w:p>
        </w:tc>
      </w:tr>
      <w:tr w:rsidR="001D3001" w:rsidRPr="008861A7" w14:paraId="20B50105" w14:textId="77777777" w:rsidTr="00E72E90">
        <w:tc>
          <w:tcPr>
            <w:tcW w:w="0" w:type="auto"/>
            <w:vMerge/>
            <w:tcBorders>
              <w:left w:val="single" w:sz="4" w:space="0" w:color="auto"/>
              <w:right w:val="single" w:sz="4" w:space="0" w:color="auto"/>
            </w:tcBorders>
            <w:vAlign w:val="center"/>
          </w:tcPr>
          <w:p w14:paraId="36B21505"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tcPr>
          <w:p w14:paraId="68DD3FF9" w14:textId="77777777" w:rsidR="001D3001" w:rsidRPr="000E4AE8" w:rsidRDefault="001D3001" w:rsidP="006F731C">
            <w:pPr>
              <w:numPr>
                <w:ilvl w:val="0"/>
                <w:numId w:val="2"/>
              </w:numPr>
              <w:spacing w:before="0" w:after="0"/>
              <w:rPr>
                <w:bCs/>
                <w:noProof/>
                <w:szCs w:val="24"/>
              </w:rPr>
            </w:pPr>
            <w:r w:rsidRPr="000E4AE8">
              <w:rPr>
                <w:noProof/>
                <w:szCs w:val="24"/>
              </w:rPr>
              <w:t xml:space="preserve">Land degradation, desertification, soil sealing </w:t>
            </w:r>
          </w:p>
        </w:tc>
        <w:tc>
          <w:tcPr>
            <w:tcW w:w="2665" w:type="dxa"/>
            <w:tcBorders>
              <w:top w:val="single" w:sz="4" w:space="0" w:color="auto"/>
              <w:left w:val="single" w:sz="4" w:space="0" w:color="auto"/>
              <w:bottom w:val="single" w:sz="4" w:space="0" w:color="auto"/>
              <w:right w:val="single" w:sz="4" w:space="0" w:color="auto"/>
            </w:tcBorders>
          </w:tcPr>
          <w:p w14:paraId="0AEC2786" w14:textId="77777777" w:rsidR="001D3001" w:rsidRPr="000E4AE8" w:rsidRDefault="001D3001" w:rsidP="001D3001">
            <w:pPr>
              <w:spacing w:after="0"/>
              <w:rPr>
                <w:noProof/>
                <w:szCs w:val="24"/>
              </w:rPr>
            </w:pPr>
            <w:r w:rsidRPr="000E4AE8">
              <w:rPr>
                <w:noProof/>
                <w:szCs w:val="24"/>
              </w:rPr>
              <w:t>Share of investments in investee companies the activities of which cause land degradation, desertification or soil sealing</w:t>
            </w:r>
          </w:p>
        </w:tc>
      </w:tr>
      <w:tr w:rsidR="001D3001" w:rsidRPr="008861A7" w14:paraId="251F8DB2" w14:textId="77777777" w:rsidTr="00E72E90">
        <w:tc>
          <w:tcPr>
            <w:tcW w:w="0" w:type="auto"/>
            <w:vMerge/>
            <w:tcBorders>
              <w:left w:val="single" w:sz="4" w:space="0" w:color="auto"/>
              <w:right w:val="single" w:sz="4" w:space="0" w:color="auto"/>
            </w:tcBorders>
            <w:vAlign w:val="center"/>
            <w:hideMark/>
          </w:tcPr>
          <w:p w14:paraId="5AF4DF47"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7F26850D" w14:textId="77777777" w:rsidR="001D3001" w:rsidRPr="000E4AE8" w:rsidRDefault="001D3001" w:rsidP="006F731C">
            <w:pPr>
              <w:numPr>
                <w:ilvl w:val="0"/>
                <w:numId w:val="2"/>
              </w:numPr>
              <w:spacing w:before="0" w:after="0"/>
              <w:rPr>
                <w:bCs/>
                <w:noProof/>
                <w:szCs w:val="24"/>
              </w:rPr>
            </w:pPr>
            <w:r w:rsidRPr="000E4AE8">
              <w:rPr>
                <w:noProof/>
                <w:szCs w:val="24"/>
              </w:rPr>
              <w:t>Investments in companies without sustainable land/agriculture practices</w:t>
            </w:r>
          </w:p>
        </w:tc>
        <w:tc>
          <w:tcPr>
            <w:tcW w:w="2665" w:type="dxa"/>
            <w:tcBorders>
              <w:top w:val="single" w:sz="4" w:space="0" w:color="auto"/>
              <w:left w:val="single" w:sz="4" w:space="0" w:color="auto"/>
              <w:bottom w:val="single" w:sz="4" w:space="0" w:color="auto"/>
              <w:right w:val="single" w:sz="4" w:space="0" w:color="auto"/>
            </w:tcBorders>
            <w:hideMark/>
          </w:tcPr>
          <w:p w14:paraId="03CB30E6" w14:textId="77777777" w:rsidR="001D3001" w:rsidRPr="000E4AE8" w:rsidRDefault="001D3001" w:rsidP="001D3001">
            <w:pPr>
              <w:spacing w:after="0"/>
              <w:rPr>
                <w:noProof/>
                <w:szCs w:val="24"/>
              </w:rPr>
            </w:pPr>
            <w:r w:rsidRPr="000E4AE8">
              <w:rPr>
                <w:noProof/>
                <w:szCs w:val="24"/>
              </w:rPr>
              <w:t>Share of investments in investee companies without sustainable land/agriculture practices or policies</w:t>
            </w:r>
          </w:p>
        </w:tc>
      </w:tr>
      <w:tr w:rsidR="001D3001" w:rsidRPr="008861A7" w14:paraId="2FAC58B3" w14:textId="77777777" w:rsidTr="00E72E90">
        <w:tc>
          <w:tcPr>
            <w:tcW w:w="0" w:type="auto"/>
            <w:vMerge/>
            <w:tcBorders>
              <w:left w:val="single" w:sz="4" w:space="0" w:color="auto"/>
              <w:right w:val="single" w:sz="4" w:space="0" w:color="auto"/>
            </w:tcBorders>
            <w:vAlign w:val="center"/>
            <w:hideMark/>
          </w:tcPr>
          <w:p w14:paraId="468BAA99"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771C8D9D" w14:textId="77777777" w:rsidR="001D3001" w:rsidRPr="000E4AE8" w:rsidRDefault="001D3001" w:rsidP="006F731C">
            <w:pPr>
              <w:numPr>
                <w:ilvl w:val="0"/>
                <w:numId w:val="2"/>
              </w:numPr>
              <w:spacing w:before="0" w:after="0"/>
              <w:rPr>
                <w:bCs/>
                <w:noProof/>
                <w:szCs w:val="24"/>
              </w:rPr>
            </w:pPr>
            <w:r w:rsidRPr="000E4AE8">
              <w:rPr>
                <w:noProof/>
                <w:szCs w:val="24"/>
              </w:rPr>
              <w:t>Investments in companies without sustainable oceans/seas practices</w:t>
            </w:r>
          </w:p>
        </w:tc>
        <w:tc>
          <w:tcPr>
            <w:tcW w:w="2665" w:type="dxa"/>
            <w:tcBorders>
              <w:top w:val="single" w:sz="4" w:space="0" w:color="auto"/>
              <w:left w:val="single" w:sz="4" w:space="0" w:color="auto"/>
              <w:bottom w:val="single" w:sz="4" w:space="0" w:color="auto"/>
              <w:right w:val="single" w:sz="4" w:space="0" w:color="auto"/>
            </w:tcBorders>
            <w:hideMark/>
          </w:tcPr>
          <w:p w14:paraId="1D71BEAB" w14:textId="77777777" w:rsidR="001D3001" w:rsidRPr="000E4AE8" w:rsidRDefault="001D3001" w:rsidP="001D3001">
            <w:pPr>
              <w:spacing w:after="0"/>
              <w:rPr>
                <w:noProof/>
                <w:szCs w:val="24"/>
              </w:rPr>
            </w:pPr>
            <w:r w:rsidRPr="000E4AE8">
              <w:rPr>
                <w:noProof/>
                <w:szCs w:val="24"/>
              </w:rPr>
              <w:t>Share of investments in investee companies without sustainable oceans/seas practices or policies</w:t>
            </w:r>
          </w:p>
        </w:tc>
      </w:tr>
      <w:tr w:rsidR="001D3001" w:rsidRPr="008861A7" w14:paraId="6C2C022E" w14:textId="77777777" w:rsidTr="00E72E90">
        <w:tc>
          <w:tcPr>
            <w:tcW w:w="0" w:type="auto"/>
            <w:vMerge/>
            <w:tcBorders>
              <w:left w:val="single" w:sz="4" w:space="0" w:color="auto"/>
              <w:right w:val="single" w:sz="4" w:space="0" w:color="auto"/>
            </w:tcBorders>
            <w:vAlign w:val="center"/>
            <w:hideMark/>
          </w:tcPr>
          <w:p w14:paraId="01D395CF"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hideMark/>
          </w:tcPr>
          <w:p w14:paraId="2D26E451" w14:textId="77777777" w:rsidR="001D3001" w:rsidRPr="000E4AE8" w:rsidRDefault="001D3001" w:rsidP="006F731C">
            <w:pPr>
              <w:numPr>
                <w:ilvl w:val="0"/>
                <w:numId w:val="2"/>
              </w:numPr>
              <w:spacing w:before="0" w:after="0"/>
              <w:rPr>
                <w:bCs/>
                <w:noProof/>
                <w:szCs w:val="24"/>
              </w:rPr>
            </w:pPr>
            <w:r w:rsidRPr="000E4AE8">
              <w:rPr>
                <w:noProof/>
                <w:szCs w:val="24"/>
              </w:rPr>
              <w:t>Non-recycled waste ratio</w:t>
            </w:r>
          </w:p>
        </w:tc>
        <w:tc>
          <w:tcPr>
            <w:tcW w:w="2665" w:type="dxa"/>
            <w:tcBorders>
              <w:top w:val="single" w:sz="4" w:space="0" w:color="auto"/>
              <w:left w:val="single" w:sz="4" w:space="0" w:color="auto"/>
              <w:bottom w:val="single" w:sz="4" w:space="0" w:color="auto"/>
              <w:right w:val="single" w:sz="4" w:space="0" w:color="auto"/>
            </w:tcBorders>
            <w:hideMark/>
          </w:tcPr>
          <w:p w14:paraId="4811C128" w14:textId="77777777" w:rsidR="001D3001" w:rsidRPr="000E4AE8" w:rsidRDefault="001D3001" w:rsidP="001D3001">
            <w:pPr>
              <w:spacing w:after="0"/>
              <w:rPr>
                <w:noProof/>
                <w:szCs w:val="24"/>
              </w:rPr>
            </w:pPr>
            <w:r w:rsidRPr="000E4AE8">
              <w:rPr>
                <w:noProof/>
                <w:szCs w:val="24"/>
              </w:rPr>
              <w:t>Tonnes of non-recycled waste generated by investee companies per million EUR invested, expressed as a weighted average</w:t>
            </w:r>
          </w:p>
        </w:tc>
      </w:tr>
      <w:tr w:rsidR="001D3001" w:rsidRPr="008861A7" w14:paraId="7DB34D0C" w14:textId="77777777" w:rsidTr="00E72E90">
        <w:tc>
          <w:tcPr>
            <w:tcW w:w="0" w:type="auto"/>
            <w:vMerge/>
            <w:tcBorders>
              <w:left w:val="single" w:sz="4" w:space="0" w:color="auto"/>
              <w:right w:val="single" w:sz="4" w:space="0" w:color="auto"/>
            </w:tcBorders>
            <w:vAlign w:val="center"/>
          </w:tcPr>
          <w:p w14:paraId="6F5C9911"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bottom w:val="single" w:sz="4" w:space="0" w:color="auto"/>
              <w:right w:val="single" w:sz="4" w:space="0" w:color="auto"/>
            </w:tcBorders>
          </w:tcPr>
          <w:p w14:paraId="4E6912D7" w14:textId="77777777" w:rsidR="001D3001" w:rsidRPr="000E4AE8" w:rsidRDefault="001D3001" w:rsidP="006F731C">
            <w:pPr>
              <w:pStyle w:val="ListParagraph"/>
              <w:numPr>
                <w:ilvl w:val="0"/>
                <w:numId w:val="2"/>
              </w:numPr>
              <w:spacing w:after="0"/>
              <w:contextualSpacing/>
              <w:rPr>
                <w:rFonts w:ascii="Times New Roman" w:hAnsi="Times New Roman"/>
                <w:noProof/>
                <w:sz w:val="24"/>
                <w:szCs w:val="24"/>
              </w:rPr>
            </w:pPr>
            <w:r w:rsidRPr="000E4AE8">
              <w:rPr>
                <w:rFonts w:ascii="Times New Roman" w:hAnsi="Times New Roman"/>
                <w:noProof/>
                <w:sz w:val="24"/>
                <w:szCs w:val="24"/>
              </w:rPr>
              <w:t>Natural species and protected areas</w:t>
            </w:r>
          </w:p>
        </w:tc>
        <w:tc>
          <w:tcPr>
            <w:tcW w:w="2665" w:type="dxa"/>
            <w:tcBorders>
              <w:top w:val="single" w:sz="4" w:space="0" w:color="auto"/>
              <w:left w:val="single" w:sz="4" w:space="0" w:color="auto"/>
              <w:bottom w:val="single" w:sz="4" w:space="0" w:color="auto"/>
              <w:right w:val="single" w:sz="4" w:space="0" w:color="auto"/>
            </w:tcBorders>
          </w:tcPr>
          <w:p w14:paraId="3004B113" w14:textId="77777777" w:rsidR="001D3001" w:rsidRPr="000E4AE8" w:rsidRDefault="001D3001" w:rsidP="00477C34">
            <w:pPr>
              <w:spacing w:after="0"/>
              <w:rPr>
                <w:noProof/>
                <w:szCs w:val="24"/>
              </w:rPr>
            </w:pPr>
            <w:r w:rsidRPr="000E4AE8">
              <w:rPr>
                <w:noProof/>
                <w:szCs w:val="24"/>
              </w:rPr>
              <w:t>1.Share of investments in investee companies whose operations affect threatened species</w:t>
            </w:r>
          </w:p>
          <w:p w14:paraId="3F0A001E" w14:textId="77777777" w:rsidR="001D3001" w:rsidRPr="000E4AE8" w:rsidRDefault="001D3001" w:rsidP="001D3001">
            <w:pPr>
              <w:spacing w:after="0"/>
              <w:rPr>
                <w:noProof/>
                <w:szCs w:val="24"/>
              </w:rPr>
            </w:pPr>
            <w:r w:rsidRPr="000E4AE8">
              <w:rPr>
                <w:noProof/>
                <w:szCs w:val="24"/>
              </w:rPr>
              <w:t>2.Share of investments in investee companies without a biodiversity protection policy covering operational sites owned, leased, managed in, or adjacent to, a protected area or an area of high biodiversity value outside protected areas</w:t>
            </w:r>
          </w:p>
        </w:tc>
      </w:tr>
      <w:tr w:rsidR="001D3001" w:rsidRPr="008861A7" w14:paraId="691D6237" w14:textId="77777777" w:rsidTr="00E72E90">
        <w:trPr>
          <w:trHeight w:val="2341"/>
        </w:trPr>
        <w:tc>
          <w:tcPr>
            <w:tcW w:w="0" w:type="auto"/>
            <w:vMerge/>
            <w:tcBorders>
              <w:left w:val="single" w:sz="4" w:space="0" w:color="auto"/>
              <w:right w:val="single" w:sz="4" w:space="0" w:color="auto"/>
            </w:tcBorders>
            <w:vAlign w:val="center"/>
          </w:tcPr>
          <w:p w14:paraId="629FB081" w14:textId="77777777" w:rsidR="001D3001" w:rsidRPr="000E4AE8" w:rsidRDefault="001D3001" w:rsidP="00477C34">
            <w:pPr>
              <w:spacing w:after="0"/>
              <w:rPr>
                <w:bCs/>
                <w:noProof/>
                <w:szCs w:val="24"/>
              </w:rPr>
            </w:pPr>
          </w:p>
        </w:tc>
        <w:tc>
          <w:tcPr>
            <w:tcW w:w="9472" w:type="dxa"/>
            <w:tcBorders>
              <w:top w:val="single" w:sz="4" w:space="0" w:color="auto"/>
              <w:left w:val="single" w:sz="4" w:space="0" w:color="auto"/>
              <w:right w:val="single" w:sz="4" w:space="0" w:color="auto"/>
            </w:tcBorders>
          </w:tcPr>
          <w:p w14:paraId="23433B7A" w14:textId="77777777" w:rsidR="001D3001" w:rsidRPr="000E4AE8" w:rsidRDefault="001D3001" w:rsidP="006F731C">
            <w:pPr>
              <w:pStyle w:val="ListParagraph"/>
              <w:numPr>
                <w:ilvl w:val="0"/>
                <w:numId w:val="2"/>
              </w:numPr>
              <w:spacing w:after="0"/>
              <w:jc w:val="both"/>
              <w:rPr>
                <w:rFonts w:ascii="Times New Roman" w:hAnsi="Times New Roman"/>
                <w:bCs/>
                <w:noProof/>
                <w:sz w:val="24"/>
                <w:szCs w:val="24"/>
              </w:rPr>
            </w:pPr>
            <w:r w:rsidRPr="000E4AE8">
              <w:rPr>
                <w:rFonts w:ascii="Times New Roman" w:hAnsi="Times New Roman"/>
                <w:noProof/>
                <w:sz w:val="24"/>
                <w:szCs w:val="24"/>
              </w:rPr>
              <w:t>Deforestation</w:t>
            </w:r>
          </w:p>
        </w:tc>
        <w:tc>
          <w:tcPr>
            <w:tcW w:w="2665" w:type="dxa"/>
            <w:tcBorders>
              <w:top w:val="single" w:sz="4" w:space="0" w:color="auto"/>
              <w:left w:val="single" w:sz="4" w:space="0" w:color="auto"/>
              <w:right w:val="single" w:sz="4" w:space="0" w:color="auto"/>
            </w:tcBorders>
          </w:tcPr>
          <w:p w14:paraId="654D7F66" w14:textId="77777777" w:rsidR="001D3001" w:rsidRPr="000E4AE8" w:rsidRDefault="001D3001" w:rsidP="00477C34">
            <w:pPr>
              <w:spacing w:after="0"/>
              <w:rPr>
                <w:noProof/>
                <w:szCs w:val="24"/>
              </w:rPr>
            </w:pPr>
            <w:r w:rsidRPr="000E4AE8">
              <w:rPr>
                <w:noProof/>
                <w:szCs w:val="24"/>
              </w:rPr>
              <w:t>Share of investments in companies without a policy to address deforestation</w:t>
            </w:r>
          </w:p>
        </w:tc>
      </w:tr>
      <w:tr w:rsidR="001D3001" w:rsidRPr="008861A7" w14:paraId="28F78349" w14:textId="77777777" w:rsidTr="00E72E90">
        <w:tc>
          <w:tcPr>
            <w:tcW w:w="1811" w:type="dxa"/>
            <w:tcBorders>
              <w:top w:val="single" w:sz="4" w:space="0" w:color="auto"/>
              <w:left w:val="single" w:sz="4" w:space="0" w:color="auto"/>
              <w:bottom w:val="single" w:sz="4" w:space="0" w:color="auto"/>
              <w:right w:val="single" w:sz="4" w:space="0" w:color="auto"/>
            </w:tcBorders>
            <w:hideMark/>
          </w:tcPr>
          <w:p w14:paraId="274DC2FB" w14:textId="77777777" w:rsidR="001D3001" w:rsidRPr="000E4AE8" w:rsidRDefault="001D3001" w:rsidP="00477C34">
            <w:pPr>
              <w:spacing w:after="0"/>
              <w:jc w:val="center"/>
              <w:rPr>
                <w:bCs/>
                <w:noProof/>
                <w:szCs w:val="24"/>
              </w:rPr>
            </w:pPr>
            <w:r w:rsidRPr="000E4AE8">
              <w:rPr>
                <w:noProof/>
                <w:szCs w:val="24"/>
              </w:rPr>
              <w:t>Green securities</w:t>
            </w:r>
          </w:p>
        </w:tc>
        <w:tc>
          <w:tcPr>
            <w:tcW w:w="9472" w:type="dxa"/>
            <w:tcBorders>
              <w:top w:val="single" w:sz="4" w:space="0" w:color="auto"/>
              <w:left w:val="single" w:sz="4" w:space="0" w:color="auto"/>
              <w:bottom w:val="single" w:sz="4" w:space="0" w:color="auto"/>
              <w:right w:val="single" w:sz="4" w:space="0" w:color="auto"/>
            </w:tcBorders>
            <w:hideMark/>
          </w:tcPr>
          <w:p w14:paraId="6D3DD958" w14:textId="2993367F" w:rsidR="001D3001" w:rsidRPr="000E4AE8" w:rsidRDefault="001D3001" w:rsidP="00A42F11">
            <w:pPr>
              <w:numPr>
                <w:ilvl w:val="0"/>
                <w:numId w:val="2"/>
              </w:numPr>
              <w:spacing w:before="0" w:after="0"/>
              <w:jc w:val="left"/>
              <w:rPr>
                <w:bCs/>
                <w:noProof/>
                <w:szCs w:val="24"/>
              </w:rPr>
            </w:pPr>
            <w:r w:rsidRPr="000E4AE8">
              <w:rPr>
                <w:noProof/>
                <w:szCs w:val="24"/>
              </w:rPr>
              <w:t xml:space="preserve">Share of securities not </w:t>
            </w:r>
            <w:r w:rsidR="00A42F11" w:rsidRPr="000E4AE8">
              <w:rPr>
                <w:noProof/>
                <w:szCs w:val="24"/>
              </w:rPr>
              <w:t>issued under Union legislation on environmentally sustainable bonds</w:t>
            </w:r>
          </w:p>
        </w:tc>
        <w:tc>
          <w:tcPr>
            <w:tcW w:w="2665" w:type="dxa"/>
            <w:tcBorders>
              <w:top w:val="single" w:sz="4" w:space="0" w:color="auto"/>
              <w:left w:val="single" w:sz="4" w:space="0" w:color="auto"/>
              <w:bottom w:val="single" w:sz="4" w:space="0" w:color="auto"/>
              <w:right w:val="single" w:sz="4" w:space="0" w:color="auto"/>
            </w:tcBorders>
            <w:hideMark/>
          </w:tcPr>
          <w:p w14:paraId="78C7EDB7" w14:textId="199E0024" w:rsidR="001D3001" w:rsidRPr="000E4AE8" w:rsidRDefault="001D3001" w:rsidP="00A42F11">
            <w:pPr>
              <w:spacing w:after="0"/>
              <w:rPr>
                <w:noProof/>
                <w:szCs w:val="24"/>
              </w:rPr>
            </w:pPr>
            <w:r w:rsidRPr="000E4AE8">
              <w:rPr>
                <w:noProof/>
                <w:szCs w:val="24"/>
              </w:rPr>
              <w:t xml:space="preserve">Share of securities in investments </w:t>
            </w:r>
            <w:r w:rsidR="00A42F11" w:rsidRPr="000E4AE8">
              <w:rPr>
                <w:noProof/>
                <w:szCs w:val="24"/>
              </w:rPr>
              <w:t>not issued under Union legislation on environmentally sustainable bonds</w:t>
            </w:r>
          </w:p>
        </w:tc>
      </w:tr>
      <w:tr w:rsidR="001D3001" w:rsidRPr="008861A7" w14:paraId="4DC33FF7" w14:textId="77777777" w:rsidTr="00E72E90">
        <w:trPr>
          <w:trHeight w:val="397"/>
        </w:trPr>
        <w:tc>
          <w:tcPr>
            <w:tcW w:w="13948" w:type="dxa"/>
            <w:gridSpan w:val="3"/>
            <w:tcBorders>
              <w:top w:val="single" w:sz="4" w:space="0" w:color="auto"/>
              <w:left w:val="single" w:sz="4" w:space="0" w:color="auto"/>
              <w:bottom w:val="single" w:sz="4" w:space="0" w:color="auto"/>
              <w:right w:val="single" w:sz="4" w:space="0" w:color="auto"/>
            </w:tcBorders>
          </w:tcPr>
          <w:p w14:paraId="3A746076" w14:textId="77777777" w:rsidR="001D3001" w:rsidRPr="000E4AE8" w:rsidRDefault="001D3001" w:rsidP="00477C34">
            <w:pPr>
              <w:spacing w:after="0"/>
              <w:jc w:val="center"/>
              <w:rPr>
                <w:b/>
                <w:noProof/>
                <w:szCs w:val="24"/>
              </w:rPr>
            </w:pPr>
          </w:p>
          <w:p w14:paraId="1DA559A6" w14:textId="77777777" w:rsidR="001D3001" w:rsidRPr="000E4AE8" w:rsidRDefault="001D3001" w:rsidP="00477C34">
            <w:pPr>
              <w:spacing w:after="0"/>
              <w:jc w:val="center"/>
              <w:rPr>
                <w:b/>
                <w:noProof/>
                <w:szCs w:val="24"/>
              </w:rPr>
            </w:pPr>
            <w:r w:rsidRPr="000E4AE8">
              <w:rPr>
                <w:b/>
                <w:noProof/>
                <w:szCs w:val="24"/>
              </w:rPr>
              <w:t>Indicators applicable to investments in sovereigns and supranationals</w:t>
            </w:r>
          </w:p>
          <w:p w14:paraId="6B6CF36B" w14:textId="77777777" w:rsidR="001D3001" w:rsidRPr="000E4AE8" w:rsidRDefault="001D3001" w:rsidP="00477C34">
            <w:pPr>
              <w:spacing w:after="0"/>
              <w:jc w:val="center"/>
              <w:rPr>
                <w:b/>
                <w:noProof/>
                <w:szCs w:val="24"/>
              </w:rPr>
            </w:pPr>
          </w:p>
        </w:tc>
      </w:tr>
      <w:tr w:rsidR="001D3001" w:rsidRPr="008861A7" w14:paraId="74CB72DF" w14:textId="77777777" w:rsidTr="00E72E90">
        <w:tc>
          <w:tcPr>
            <w:tcW w:w="1811" w:type="dxa"/>
            <w:tcBorders>
              <w:top w:val="single" w:sz="4" w:space="0" w:color="auto"/>
              <w:left w:val="single" w:sz="4" w:space="0" w:color="auto"/>
              <w:bottom w:val="single" w:sz="4" w:space="0" w:color="auto"/>
              <w:right w:val="single" w:sz="4" w:space="0" w:color="auto"/>
            </w:tcBorders>
          </w:tcPr>
          <w:p w14:paraId="5679B661" w14:textId="77777777" w:rsidR="001D3001" w:rsidRPr="000E4AE8" w:rsidRDefault="001D3001" w:rsidP="00477C34">
            <w:pPr>
              <w:spacing w:after="0"/>
              <w:jc w:val="center"/>
              <w:rPr>
                <w:bCs/>
                <w:noProof/>
                <w:szCs w:val="24"/>
              </w:rPr>
            </w:pPr>
            <w:r w:rsidRPr="000E4AE8">
              <w:rPr>
                <w:bCs/>
                <w:noProof/>
                <w:szCs w:val="24"/>
              </w:rPr>
              <w:t>Green securities</w:t>
            </w:r>
          </w:p>
        </w:tc>
        <w:tc>
          <w:tcPr>
            <w:tcW w:w="9472" w:type="dxa"/>
            <w:tcBorders>
              <w:top w:val="single" w:sz="4" w:space="0" w:color="auto"/>
              <w:left w:val="single" w:sz="4" w:space="0" w:color="auto"/>
              <w:bottom w:val="single" w:sz="4" w:space="0" w:color="auto"/>
              <w:right w:val="single" w:sz="4" w:space="0" w:color="auto"/>
            </w:tcBorders>
          </w:tcPr>
          <w:p w14:paraId="1656844D" w14:textId="32267AFC" w:rsidR="001D3001" w:rsidRPr="000E4AE8" w:rsidRDefault="001D3001" w:rsidP="00A42F11">
            <w:pPr>
              <w:pStyle w:val="ListParagraph"/>
              <w:numPr>
                <w:ilvl w:val="0"/>
                <w:numId w:val="2"/>
              </w:numPr>
              <w:spacing w:after="0"/>
              <w:contextualSpacing/>
              <w:rPr>
                <w:rFonts w:ascii="Times New Roman" w:hAnsi="Times New Roman"/>
                <w:bCs/>
                <w:noProof/>
                <w:sz w:val="24"/>
                <w:szCs w:val="24"/>
              </w:rPr>
            </w:pPr>
            <w:r w:rsidRPr="000E4AE8">
              <w:rPr>
                <w:rFonts w:ascii="Times New Roman" w:hAnsi="Times New Roman"/>
                <w:noProof/>
                <w:sz w:val="24"/>
                <w:szCs w:val="24"/>
              </w:rPr>
              <w:t xml:space="preserve">Share of bonds </w:t>
            </w:r>
            <w:r w:rsidR="00A42F11" w:rsidRPr="000E4AE8">
              <w:rPr>
                <w:rFonts w:ascii="Times New Roman" w:hAnsi="Times New Roman"/>
                <w:noProof/>
                <w:sz w:val="24"/>
                <w:szCs w:val="24"/>
              </w:rPr>
              <w:t>not issued under Union legislation on environmentally sustainable bonds</w:t>
            </w:r>
          </w:p>
        </w:tc>
        <w:tc>
          <w:tcPr>
            <w:tcW w:w="2665" w:type="dxa"/>
            <w:tcBorders>
              <w:top w:val="single" w:sz="4" w:space="0" w:color="auto"/>
              <w:left w:val="single" w:sz="4" w:space="0" w:color="auto"/>
              <w:bottom w:val="single" w:sz="4" w:space="0" w:color="auto"/>
              <w:right w:val="single" w:sz="4" w:space="0" w:color="auto"/>
            </w:tcBorders>
          </w:tcPr>
          <w:p w14:paraId="101E4861" w14:textId="4ADFB4E0" w:rsidR="001D3001" w:rsidRPr="000E4AE8" w:rsidRDefault="001D3001" w:rsidP="00A42F11">
            <w:pPr>
              <w:spacing w:after="0"/>
              <w:rPr>
                <w:bCs/>
                <w:noProof/>
                <w:szCs w:val="24"/>
              </w:rPr>
            </w:pPr>
            <w:r w:rsidRPr="000E4AE8">
              <w:rPr>
                <w:bCs/>
                <w:noProof/>
                <w:szCs w:val="24"/>
              </w:rPr>
              <w:t xml:space="preserve">Share of bonds not </w:t>
            </w:r>
            <w:r w:rsidR="00A42F11" w:rsidRPr="000E4AE8">
              <w:rPr>
                <w:noProof/>
                <w:szCs w:val="24"/>
              </w:rPr>
              <w:t>issued under Union legislation on environmentally sustainable bonds</w:t>
            </w:r>
          </w:p>
        </w:tc>
      </w:tr>
      <w:tr w:rsidR="001D3001" w:rsidRPr="008861A7" w14:paraId="3D4C93BB" w14:textId="77777777" w:rsidTr="00E72E90">
        <w:trPr>
          <w:trHeight w:val="443"/>
        </w:trPr>
        <w:tc>
          <w:tcPr>
            <w:tcW w:w="13948" w:type="dxa"/>
            <w:gridSpan w:val="3"/>
            <w:tcBorders>
              <w:top w:val="single" w:sz="4" w:space="0" w:color="auto"/>
              <w:left w:val="single" w:sz="4" w:space="0" w:color="auto"/>
              <w:bottom w:val="single" w:sz="4" w:space="0" w:color="auto"/>
              <w:right w:val="single" w:sz="4" w:space="0" w:color="auto"/>
            </w:tcBorders>
          </w:tcPr>
          <w:p w14:paraId="3C02D9B6" w14:textId="77777777" w:rsidR="001D3001" w:rsidRPr="000E4AE8" w:rsidRDefault="001D3001" w:rsidP="00477C34">
            <w:pPr>
              <w:spacing w:after="0"/>
              <w:jc w:val="center"/>
              <w:rPr>
                <w:b/>
                <w:bCs/>
                <w:noProof/>
                <w:szCs w:val="24"/>
              </w:rPr>
            </w:pPr>
          </w:p>
          <w:p w14:paraId="5466E8F7" w14:textId="77777777" w:rsidR="001D3001" w:rsidRPr="000E4AE8" w:rsidRDefault="001D3001" w:rsidP="00477C34">
            <w:pPr>
              <w:spacing w:after="0"/>
              <w:jc w:val="center"/>
              <w:rPr>
                <w:b/>
                <w:bCs/>
                <w:noProof/>
                <w:szCs w:val="24"/>
              </w:rPr>
            </w:pPr>
            <w:r w:rsidRPr="000E4AE8">
              <w:rPr>
                <w:b/>
                <w:bCs/>
                <w:noProof/>
                <w:szCs w:val="24"/>
              </w:rPr>
              <w:t>Indicators applicable to investments in real estate assets</w:t>
            </w:r>
          </w:p>
          <w:p w14:paraId="0B04415F" w14:textId="77777777" w:rsidR="001D3001" w:rsidRPr="000E4AE8" w:rsidRDefault="001D3001" w:rsidP="00477C34">
            <w:pPr>
              <w:spacing w:after="0"/>
              <w:jc w:val="center"/>
              <w:rPr>
                <w:b/>
                <w:bCs/>
                <w:noProof/>
                <w:szCs w:val="24"/>
              </w:rPr>
            </w:pPr>
          </w:p>
        </w:tc>
      </w:tr>
      <w:tr w:rsidR="001D3001" w:rsidRPr="008861A7" w14:paraId="59ADCCCE" w14:textId="77777777" w:rsidTr="00E72E90">
        <w:tc>
          <w:tcPr>
            <w:tcW w:w="1811" w:type="dxa"/>
            <w:vMerge w:val="restart"/>
            <w:tcBorders>
              <w:top w:val="single" w:sz="4" w:space="0" w:color="auto"/>
              <w:left w:val="single" w:sz="4" w:space="0" w:color="auto"/>
              <w:right w:val="single" w:sz="4" w:space="0" w:color="auto"/>
            </w:tcBorders>
          </w:tcPr>
          <w:p w14:paraId="3DCC4BF1" w14:textId="71034ABE" w:rsidR="001D3001" w:rsidRPr="000E4AE8" w:rsidRDefault="0059605D" w:rsidP="00477C34">
            <w:pPr>
              <w:spacing w:after="0"/>
              <w:jc w:val="center"/>
              <w:rPr>
                <w:bCs/>
                <w:noProof/>
                <w:szCs w:val="24"/>
              </w:rPr>
            </w:pPr>
            <w:r w:rsidRPr="0059605D">
              <w:rPr>
                <w:bCs/>
                <w:noProof/>
                <w:szCs w:val="24"/>
              </w:rPr>
              <w:t>Greenhouse gas emissions</w:t>
            </w:r>
          </w:p>
        </w:tc>
        <w:tc>
          <w:tcPr>
            <w:tcW w:w="9472" w:type="dxa"/>
            <w:vMerge w:val="restart"/>
            <w:tcBorders>
              <w:top w:val="single" w:sz="4" w:space="0" w:color="auto"/>
              <w:left w:val="single" w:sz="4" w:space="0" w:color="auto"/>
              <w:right w:val="single" w:sz="4" w:space="0" w:color="auto"/>
            </w:tcBorders>
          </w:tcPr>
          <w:p w14:paraId="618A42AD" w14:textId="77777777" w:rsidR="001D3001" w:rsidRPr="000E4AE8" w:rsidRDefault="001D3001" w:rsidP="006F731C">
            <w:pPr>
              <w:pStyle w:val="ListParagraph"/>
              <w:numPr>
                <w:ilvl w:val="0"/>
                <w:numId w:val="2"/>
              </w:numPr>
              <w:spacing w:after="0"/>
              <w:jc w:val="both"/>
              <w:rPr>
                <w:rFonts w:ascii="Times New Roman" w:hAnsi="Times New Roman"/>
                <w:bCs/>
                <w:noProof/>
                <w:sz w:val="24"/>
                <w:szCs w:val="24"/>
              </w:rPr>
            </w:pPr>
            <w:r w:rsidRPr="000E4AE8">
              <w:rPr>
                <w:rFonts w:ascii="Times New Roman" w:hAnsi="Times New Roman"/>
                <w:noProof/>
                <w:sz w:val="24"/>
                <w:szCs w:val="24"/>
              </w:rPr>
              <w:t xml:space="preserve">GHG emissions </w:t>
            </w:r>
          </w:p>
          <w:p w14:paraId="102CD6CB" w14:textId="77777777" w:rsidR="001D3001" w:rsidRPr="000E4AE8" w:rsidRDefault="001D3001" w:rsidP="00477C34">
            <w:pPr>
              <w:spacing w:after="0"/>
              <w:rPr>
                <w:bCs/>
                <w:noProof/>
                <w:szCs w:val="24"/>
              </w:rPr>
            </w:pPr>
          </w:p>
        </w:tc>
        <w:tc>
          <w:tcPr>
            <w:tcW w:w="2665" w:type="dxa"/>
            <w:tcBorders>
              <w:top w:val="single" w:sz="4" w:space="0" w:color="auto"/>
              <w:left w:val="single" w:sz="4" w:space="0" w:color="auto"/>
              <w:bottom w:val="single" w:sz="4" w:space="0" w:color="auto"/>
              <w:right w:val="single" w:sz="4" w:space="0" w:color="auto"/>
            </w:tcBorders>
          </w:tcPr>
          <w:p w14:paraId="2338EB76" w14:textId="77777777" w:rsidR="001D3001" w:rsidRPr="000E4AE8" w:rsidRDefault="001D3001" w:rsidP="001D3001">
            <w:pPr>
              <w:spacing w:after="0"/>
              <w:rPr>
                <w:noProof/>
                <w:color w:val="000000"/>
                <w:szCs w:val="24"/>
              </w:rPr>
            </w:pPr>
            <w:r w:rsidRPr="000E4AE8">
              <w:rPr>
                <w:noProof/>
                <w:szCs w:val="24"/>
              </w:rPr>
              <w:t>Scope 1 GHG emissions generated by real estate assets</w:t>
            </w:r>
          </w:p>
        </w:tc>
      </w:tr>
      <w:tr w:rsidR="001D3001" w:rsidRPr="008861A7" w14:paraId="4D2006BD" w14:textId="77777777" w:rsidTr="00E72E90">
        <w:tc>
          <w:tcPr>
            <w:tcW w:w="1811" w:type="dxa"/>
            <w:vMerge/>
            <w:tcBorders>
              <w:left w:val="single" w:sz="4" w:space="0" w:color="auto"/>
              <w:right w:val="single" w:sz="4" w:space="0" w:color="auto"/>
            </w:tcBorders>
          </w:tcPr>
          <w:p w14:paraId="7B96EADA" w14:textId="77777777" w:rsidR="001D3001" w:rsidRPr="000E4AE8" w:rsidRDefault="001D3001" w:rsidP="00477C34">
            <w:pPr>
              <w:spacing w:after="0"/>
              <w:jc w:val="center"/>
              <w:rPr>
                <w:bCs/>
                <w:noProof/>
                <w:szCs w:val="24"/>
              </w:rPr>
            </w:pPr>
          </w:p>
        </w:tc>
        <w:tc>
          <w:tcPr>
            <w:tcW w:w="9472" w:type="dxa"/>
            <w:vMerge/>
            <w:tcBorders>
              <w:left w:val="single" w:sz="4" w:space="0" w:color="auto"/>
              <w:right w:val="single" w:sz="4" w:space="0" w:color="auto"/>
            </w:tcBorders>
          </w:tcPr>
          <w:p w14:paraId="67BC9C3D" w14:textId="77777777" w:rsidR="001D3001" w:rsidRPr="000E4AE8" w:rsidRDefault="001D3001" w:rsidP="006F731C">
            <w:pPr>
              <w:numPr>
                <w:ilvl w:val="0"/>
                <w:numId w:val="2"/>
              </w:numPr>
              <w:spacing w:before="0" w:after="0"/>
              <w:rPr>
                <w:bCs/>
                <w:noProof/>
                <w:szCs w:val="24"/>
              </w:rPr>
            </w:pPr>
          </w:p>
        </w:tc>
        <w:tc>
          <w:tcPr>
            <w:tcW w:w="2665" w:type="dxa"/>
            <w:tcBorders>
              <w:top w:val="single" w:sz="4" w:space="0" w:color="auto"/>
              <w:left w:val="single" w:sz="4" w:space="0" w:color="auto"/>
              <w:bottom w:val="single" w:sz="4" w:space="0" w:color="auto"/>
              <w:right w:val="single" w:sz="4" w:space="0" w:color="auto"/>
            </w:tcBorders>
          </w:tcPr>
          <w:p w14:paraId="49C2B17E" w14:textId="77777777" w:rsidR="001D3001" w:rsidRPr="000E4AE8" w:rsidRDefault="001D3001" w:rsidP="001D3001">
            <w:pPr>
              <w:spacing w:after="0"/>
              <w:rPr>
                <w:noProof/>
                <w:color w:val="000000"/>
                <w:szCs w:val="24"/>
              </w:rPr>
            </w:pPr>
            <w:r w:rsidRPr="000E4AE8">
              <w:rPr>
                <w:noProof/>
                <w:szCs w:val="24"/>
              </w:rPr>
              <w:t>Scope 2 GHG emissions generated by real estate assets</w:t>
            </w:r>
          </w:p>
        </w:tc>
      </w:tr>
      <w:tr w:rsidR="001D3001" w:rsidRPr="008861A7" w14:paraId="6F5D79A5" w14:textId="77777777" w:rsidTr="00E72E90">
        <w:tc>
          <w:tcPr>
            <w:tcW w:w="1811" w:type="dxa"/>
            <w:vMerge/>
            <w:tcBorders>
              <w:left w:val="single" w:sz="4" w:space="0" w:color="auto"/>
              <w:right w:val="single" w:sz="4" w:space="0" w:color="auto"/>
            </w:tcBorders>
          </w:tcPr>
          <w:p w14:paraId="60AF63F0" w14:textId="77777777" w:rsidR="001D3001" w:rsidRPr="000E4AE8" w:rsidRDefault="001D3001" w:rsidP="00477C34">
            <w:pPr>
              <w:spacing w:after="0"/>
              <w:jc w:val="center"/>
              <w:rPr>
                <w:bCs/>
                <w:noProof/>
                <w:szCs w:val="24"/>
              </w:rPr>
            </w:pPr>
          </w:p>
        </w:tc>
        <w:tc>
          <w:tcPr>
            <w:tcW w:w="9472" w:type="dxa"/>
            <w:vMerge/>
            <w:tcBorders>
              <w:left w:val="single" w:sz="4" w:space="0" w:color="auto"/>
              <w:right w:val="single" w:sz="4" w:space="0" w:color="auto"/>
            </w:tcBorders>
          </w:tcPr>
          <w:p w14:paraId="4399E1E0" w14:textId="77777777" w:rsidR="001D3001" w:rsidRPr="000E4AE8" w:rsidRDefault="001D3001" w:rsidP="006F731C">
            <w:pPr>
              <w:numPr>
                <w:ilvl w:val="0"/>
                <w:numId w:val="2"/>
              </w:numPr>
              <w:spacing w:before="0" w:after="0"/>
              <w:rPr>
                <w:bCs/>
                <w:noProof/>
                <w:szCs w:val="24"/>
              </w:rPr>
            </w:pPr>
          </w:p>
        </w:tc>
        <w:tc>
          <w:tcPr>
            <w:tcW w:w="2665" w:type="dxa"/>
            <w:tcBorders>
              <w:top w:val="single" w:sz="4" w:space="0" w:color="auto"/>
              <w:left w:val="single" w:sz="4" w:space="0" w:color="auto"/>
              <w:bottom w:val="single" w:sz="4" w:space="0" w:color="auto"/>
              <w:right w:val="single" w:sz="4" w:space="0" w:color="auto"/>
            </w:tcBorders>
          </w:tcPr>
          <w:p w14:paraId="017B399A" w14:textId="1B59C2AF" w:rsidR="001D3001" w:rsidRPr="000E4AE8" w:rsidRDefault="001D3001" w:rsidP="003B61D7">
            <w:pPr>
              <w:spacing w:after="0"/>
              <w:rPr>
                <w:bCs/>
                <w:noProof/>
                <w:szCs w:val="24"/>
              </w:rPr>
            </w:pPr>
            <w:r w:rsidRPr="000E4AE8">
              <w:rPr>
                <w:noProof/>
                <w:szCs w:val="24"/>
              </w:rPr>
              <w:t>Scope 3 GHG emissions generated by real estate assets</w:t>
            </w:r>
          </w:p>
        </w:tc>
      </w:tr>
      <w:tr w:rsidR="001D3001" w:rsidRPr="008861A7" w14:paraId="5B9C3324" w14:textId="77777777" w:rsidTr="00E72E90">
        <w:tc>
          <w:tcPr>
            <w:tcW w:w="1811" w:type="dxa"/>
            <w:vMerge/>
            <w:tcBorders>
              <w:left w:val="single" w:sz="4" w:space="0" w:color="auto"/>
              <w:bottom w:val="single" w:sz="4" w:space="0" w:color="auto"/>
              <w:right w:val="single" w:sz="4" w:space="0" w:color="auto"/>
            </w:tcBorders>
          </w:tcPr>
          <w:p w14:paraId="7010B1B1" w14:textId="77777777" w:rsidR="001D3001" w:rsidRPr="000E4AE8" w:rsidRDefault="001D3001" w:rsidP="00477C34">
            <w:pPr>
              <w:spacing w:after="0"/>
              <w:jc w:val="center"/>
              <w:rPr>
                <w:bCs/>
                <w:noProof/>
                <w:szCs w:val="24"/>
              </w:rPr>
            </w:pPr>
          </w:p>
        </w:tc>
        <w:tc>
          <w:tcPr>
            <w:tcW w:w="9472" w:type="dxa"/>
            <w:vMerge/>
            <w:tcBorders>
              <w:left w:val="single" w:sz="4" w:space="0" w:color="auto"/>
              <w:bottom w:val="single" w:sz="4" w:space="0" w:color="auto"/>
              <w:right w:val="single" w:sz="4" w:space="0" w:color="auto"/>
            </w:tcBorders>
          </w:tcPr>
          <w:p w14:paraId="4B7DB754" w14:textId="77777777" w:rsidR="001D3001" w:rsidRPr="000E4AE8" w:rsidRDefault="001D3001" w:rsidP="006F731C">
            <w:pPr>
              <w:numPr>
                <w:ilvl w:val="0"/>
                <w:numId w:val="2"/>
              </w:numPr>
              <w:spacing w:before="0" w:after="0"/>
              <w:jc w:val="left"/>
              <w:rPr>
                <w:bCs/>
                <w:noProof/>
                <w:szCs w:val="24"/>
              </w:rPr>
            </w:pPr>
          </w:p>
        </w:tc>
        <w:tc>
          <w:tcPr>
            <w:tcW w:w="2665" w:type="dxa"/>
            <w:tcBorders>
              <w:top w:val="single" w:sz="4" w:space="0" w:color="auto"/>
              <w:left w:val="single" w:sz="4" w:space="0" w:color="auto"/>
              <w:bottom w:val="single" w:sz="4" w:space="0" w:color="auto"/>
              <w:right w:val="single" w:sz="4" w:space="0" w:color="auto"/>
            </w:tcBorders>
          </w:tcPr>
          <w:p w14:paraId="30EEFE3D" w14:textId="77777777" w:rsidR="001D3001" w:rsidRPr="000E4AE8" w:rsidRDefault="001D3001" w:rsidP="001D3001">
            <w:pPr>
              <w:spacing w:after="0"/>
              <w:rPr>
                <w:bCs/>
                <w:noProof/>
                <w:szCs w:val="24"/>
              </w:rPr>
            </w:pPr>
            <w:r w:rsidRPr="000E4AE8">
              <w:rPr>
                <w:noProof/>
                <w:szCs w:val="24"/>
              </w:rPr>
              <w:t>Total GHG emissions generated by real estate assets</w:t>
            </w:r>
          </w:p>
        </w:tc>
      </w:tr>
      <w:tr w:rsidR="001D3001" w:rsidRPr="008861A7" w14:paraId="76E688BF" w14:textId="77777777" w:rsidTr="00E72E90">
        <w:tc>
          <w:tcPr>
            <w:tcW w:w="1811" w:type="dxa"/>
            <w:tcBorders>
              <w:top w:val="single" w:sz="4" w:space="0" w:color="auto"/>
              <w:left w:val="single" w:sz="4" w:space="0" w:color="auto"/>
              <w:bottom w:val="single" w:sz="4" w:space="0" w:color="auto"/>
              <w:right w:val="single" w:sz="4" w:space="0" w:color="auto"/>
            </w:tcBorders>
          </w:tcPr>
          <w:p w14:paraId="1262C2C6" w14:textId="77777777" w:rsidR="001D3001" w:rsidRPr="000E4AE8" w:rsidRDefault="001D3001" w:rsidP="00477C34">
            <w:pPr>
              <w:spacing w:after="0"/>
              <w:jc w:val="center"/>
              <w:rPr>
                <w:bCs/>
                <w:noProof/>
                <w:szCs w:val="24"/>
              </w:rPr>
            </w:pPr>
            <w:r w:rsidRPr="000E4AE8">
              <w:rPr>
                <w:noProof/>
                <w:szCs w:val="24"/>
              </w:rPr>
              <w:t>Energy consumption</w:t>
            </w:r>
          </w:p>
        </w:tc>
        <w:tc>
          <w:tcPr>
            <w:tcW w:w="9472" w:type="dxa"/>
            <w:tcBorders>
              <w:top w:val="single" w:sz="4" w:space="0" w:color="auto"/>
              <w:left w:val="single" w:sz="4" w:space="0" w:color="auto"/>
              <w:bottom w:val="single" w:sz="4" w:space="0" w:color="auto"/>
              <w:right w:val="single" w:sz="4" w:space="0" w:color="auto"/>
            </w:tcBorders>
          </w:tcPr>
          <w:p w14:paraId="71D6DF79" w14:textId="77777777" w:rsidR="001D3001" w:rsidRPr="000E4AE8" w:rsidRDefault="001D3001" w:rsidP="006F731C">
            <w:pPr>
              <w:numPr>
                <w:ilvl w:val="0"/>
                <w:numId w:val="2"/>
              </w:numPr>
              <w:spacing w:before="0" w:after="0"/>
              <w:jc w:val="left"/>
              <w:rPr>
                <w:bCs/>
                <w:noProof/>
                <w:szCs w:val="24"/>
              </w:rPr>
            </w:pPr>
            <w:r w:rsidRPr="000E4AE8">
              <w:rPr>
                <w:noProof/>
                <w:szCs w:val="24"/>
              </w:rPr>
              <w:t>Energy consumption intensity</w:t>
            </w:r>
          </w:p>
        </w:tc>
        <w:tc>
          <w:tcPr>
            <w:tcW w:w="2665" w:type="dxa"/>
            <w:tcBorders>
              <w:top w:val="single" w:sz="4" w:space="0" w:color="auto"/>
              <w:left w:val="single" w:sz="4" w:space="0" w:color="auto"/>
              <w:bottom w:val="single" w:sz="4" w:space="0" w:color="auto"/>
              <w:right w:val="single" w:sz="4" w:space="0" w:color="auto"/>
            </w:tcBorders>
          </w:tcPr>
          <w:p w14:paraId="5B4811FA" w14:textId="77777777" w:rsidR="001D3001" w:rsidRPr="000E4AE8" w:rsidRDefault="001D3001" w:rsidP="001D3001">
            <w:pPr>
              <w:spacing w:after="0"/>
              <w:rPr>
                <w:bCs/>
                <w:noProof/>
                <w:szCs w:val="24"/>
              </w:rPr>
            </w:pPr>
            <w:r w:rsidRPr="000E4AE8">
              <w:rPr>
                <w:noProof/>
                <w:szCs w:val="24"/>
              </w:rPr>
              <w:t>Energy consumption in GWh of owned real estate assets per square meter</w:t>
            </w:r>
          </w:p>
        </w:tc>
      </w:tr>
      <w:tr w:rsidR="001D3001" w:rsidRPr="008861A7" w14:paraId="02393B11" w14:textId="77777777" w:rsidTr="00E72E90">
        <w:tc>
          <w:tcPr>
            <w:tcW w:w="1811" w:type="dxa"/>
            <w:tcBorders>
              <w:top w:val="single" w:sz="4" w:space="0" w:color="auto"/>
              <w:left w:val="single" w:sz="4" w:space="0" w:color="auto"/>
              <w:bottom w:val="single" w:sz="4" w:space="0" w:color="auto"/>
              <w:right w:val="single" w:sz="4" w:space="0" w:color="auto"/>
            </w:tcBorders>
          </w:tcPr>
          <w:p w14:paraId="0518FAEE" w14:textId="77777777" w:rsidR="001D3001" w:rsidRPr="000E4AE8" w:rsidRDefault="001D3001" w:rsidP="00477C34">
            <w:pPr>
              <w:spacing w:after="0"/>
              <w:jc w:val="center"/>
              <w:rPr>
                <w:bCs/>
                <w:noProof/>
                <w:szCs w:val="24"/>
              </w:rPr>
            </w:pPr>
            <w:r w:rsidRPr="000E4AE8">
              <w:rPr>
                <w:noProof/>
                <w:szCs w:val="24"/>
              </w:rPr>
              <w:t>Waste</w:t>
            </w:r>
          </w:p>
        </w:tc>
        <w:tc>
          <w:tcPr>
            <w:tcW w:w="9472" w:type="dxa"/>
            <w:tcBorders>
              <w:top w:val="single" w:sz="4" w:space="0" w:color="auto"/>
              <w:left w:val="single" w:sz="4" w:space="0" w:color="auto"/>
              <w:bottom w:val="single" w:sz="4" w:space="0" w:color="auto"/>
              <w:right w:val="single" w:sz="4" w:space="0" w:color="auto"/>
            </w:tcBorders>
          </w:tcPr>
          <w:p w14:paraId="2A5F3389" w14:textId="77777777" w:rsidR="001D3001" w:rsidRPr="000E4AE8" w:rsidRDefault="001D3001" w:rsidP="006F731C">
            <w:pPr>
              <w:numPr>
                <w:ilvl w:val="0"/>
                <w:numId w:val="2"/>
              </w:numPr>
              <w:spacing w:before="0" w:after="0"/>
              <w:jc w:val="left"/>
              <w:rPr>
                <w:bCs/>
                <w:noProof/>
                <w:szCs w:val="24"/>
              </w:rPr>
            </w:pPr>
            <w:r w:rsidRPr="000E4AE8">
              <w:rPr>
                <w:noProof/>
                <w:szCs w:val="24"/>
              </w:rPr>
              <w:t>Waste production in operations</w:t>
            </w:r>
          </w:p>
        </w:tc>
        <w:tc>
          <w:tcPr>
            <w:tcW w:w="2665" w:type="dxa"/>
            <w:tcBorders>
              <w:top w:val="single" w:sz="4" w:space="0" w:color="auto"/>
              <w:left w:val="single" w:sz="4" w:space="0" w:color="auto"/>
              <w:bottom w:val="single" w:sz="4" w:space="0" w:color="auto"/>
              <w:right w:val="single" w:sz="4" w:space="0" w:color="auto"/>
            </w:tcBorders>
          </w:tcPr>
          <w:p w14:paraId="2148D5A7" w14:textId="77777777" w:rsidR="001D3001" w:rsidRPr="000E4AE8" w:rsidRDefault="001D3001" w:rsidP="001D3001">
            <w:pPr>
              <w:spacing w:after="0"/>
              <w:rPr>
                <w:bCs/>
                <w:noProof/>
                <w:szCs w:val="24"/>
              </w:rPr>
            </w:pPr>
            <w:r w:rsidRPr="000E4AE8">
              <w:rPr>
                <w:noProof/>
                <w:szCs w:val="24"/>
              </w:rPr>
              <w:t>Share of real estate assets not equipped with facilities for waste sorting and not covered by a waste recovery or recycling contract</w:t>
            </w:r>
          </w:p>
        </w:tc>
      </w:tr>
      <w:tr w:rsidR="001D3001" w:rsidRPr="008861A7" w14:paraId="65183664" w14:textId="77777777" w:rsidTr="00E72E90">
        <w:tc>
          <w:tcPr>
            <w:tcW w:w="1811" w:type="dxa"/>
            <w:tcBorders>
              <w:top w:val="single" w:sz="4" w:space="0" w:color="auto"/>
              <w:left w:val="single" w:sz="4" w:space="0" w:color="auto"/>
              <w:bottom w:val="single" w:sz="4" w:space="0" w:color="auto"/>
              <w:right w:val="single" w:sz="4" w:space="0" w:color="auto"/>
            </w:tcBorders>
          </w:tcPr>
          <w:p w14:paraId="689BB505" w14:textId="77777777" w:rsidR="001D3001" w:rsidRPr="000E4AE8" w:rsidRDefault="001D3001" w:rsidP="00477C34">
            <w:pPr>
              <w:spacing w:after="0"/>
              <w:jc w:val="center"/>
              <w:rPr>
                <w:bCs/>
                <w:noProof/>
                <w:szCs w:val="24"/>
              </w:rPr>
            </w:pPr>
            <w:r w:rsidRPr="000E4AE8">
              <w:rPr>
                <w:noProof/>
                <w:szCs w:val="24"/>
              </w:rPr>
              <w:t>Resource consumption</w:t>
            </w:r>
          </w:p>
        </w:tc>
        <w:tc>
          <w:tcPr>
            <w:tcW w:w="9472" w:type="dxa"/>
            <w:tcBorders>
              <w:top w:val="single" w:sz="4" w:space="0" w:color="auto"/>
              <w:left w:val="single" w:sz="4" w:space="0" w:color="auto"/>
              <w:bottom w:val="single" w:sz="4" w:space="0" w:color="auto"/>
              <w:right w:val="single" w:sz="4" w:space="0" w:color="auto"/>
            </w:tcBorders>
          </w:tcPr>
          <w:p w14:paraId="387C635A" w14:textId="77777777" w:rsidR="001D3001" w:rsidRPr="000E4AE8" w:rsidRDefault="001D3001" w:rsidP="006F731C">
            <w:pPr>
              <w:numPr>
                <w:ilvl w:val="0"/>
                <w:numId w:val="2"/>
              </w:numPr>
              <w:spacing w:before="0" w:after="0"/>
              <w:jc w:val="left"/>
              <w:rPr>
                <w:bCs/>
                <w:noProof/>
                <w:szCs w:val="24"/>
              </w:rPr>
            </w:pPr>
            <w:r w:rsidRPr="000E4AE8">
              <w:rPr>
                <w:noProof/>
                <w:szCs w:val="24"/>
              </w:rPr>
              <w:t>Raw materials consumption for new construction and major renovations</w:t>
            </w:r>
          </w:p>
        </w:tc>
        <w:tc>
          <w:tcPr>
            <w:tcW w:w="2665" w:type="dxa"/>
            <w:tcBorders>
              <w:top w:val="single" w:sz="4" w:space="0" w:color="auto"/>
              <w:left w:val="single" w:sz="4" w:space="0" w:color="auto"/>
              <w:bottom w:val="single" w:sz="4" w:space="0" w:color="auto"/>
              <w:right w:val="single" w:sz="4" w:space="0" w:color="auto"/>
            </w:tcBorders>
          </w:tcPr>
          <w:p w14:paraId="16FC38B5" w14:textId="77777777" w:rsidR="001D3001" w:rsidRPr="000E4AE8" w:rsidRDefault="001D3001" w:rsidP="001D3001">
            <w:pPr>
              <w:spacing w:after="0"/>
              <w:rPr>
                <w:bCs/>
                <w:noProof/>
                <w:szCs w:val="24"/>
              </w:rPr>
            </w:pPr>
            <w:r w:rsidRPr="000E4AE8">
              <w:rPr>
                <w:noProof/>
                <w:szCs w:val="24"/>
              </w:rPr>
              <w:t>Share of raw building materials (excluding recovered, recycled and biosourced) compared to the total weight of building materials used in new construction and major renovations</w:t>
            </w:r>
          </w:p>
        </w:tc>
      </w:tr>
      <w:tr w:rsidR="001D3001" w:rsidRPr="008861A7" w14:paraId="4AF77096" w14:textId="77777777" w:rsidTr="00E72E90">
        <w:tc>
          <w:tcPr>
            <w:tcW w:w="1811" w:type="dxa"/>
            <w:tcBorders>
              <w:top w:val="single" w:sz="4" w:space="0" w:color="auto"/>
              <w:left w:val="single" w:sz="4" w:space="0" w:color="auto"/>
              <w:bottom w:val="single" w:sz="4" w:space="0" w:color="auto"/>
              <w:right w:val="single" w:sz="4" w:space="0" w:color="auto"/>
            </w:tcBorders>
          </w:tcPr>
          <w:p w14:paraId="6CEB94D5" w14:textId="77777777" w:rsidR="001D3001" w:rsidRPr="000E4AE8" w:rsidRDefault="001D3001" w:rsidP="00477C34">
            <w:pPr>
              <w:spacing w:after="0"/>
              <w:jc w:val="center"/>
              <w:rPr>
                <w:bCs/>
                <w:noProof/>
                <w:szCs w:val="24"/>
              </w:rPr>
            </w:pPr>
            <w:r w:rsidRPr="000E4AE8">
              <w:rPr>
                <w:noProof/>
                <w:szCs w:val="24"/>
              </w:rPr>
              <w:t>Biodiversity</w:t>
            </w:r>
          </w:p>
        </w:tc>
        <w:tc>
          <w:tcPr>
            <w:tcW w:w="9472" w:type="dxa"/>
            <w:tcBorders>
              <w:top w:val="single" w:sz="4" w:space="0" w:color="auto"/>
              <w:left w:val="single" w:sz="4" w:space="0" w:color="auto"/>
              <w:bottom w:val="single" w:sz="4" w:space="0" w:color="auto"/>
              <w:right w:val="single" w:sz="4" w:space="0" w:color="auto"/>
            </w:tcBorders>
          </w:tcPr>
          <w:p w14:paraId="24B9AEE9" w14:textId="77777777" w:rsidR="001D3001" w:rsidRPr="000E4AE8" w:rsidRDefault="001D3001" w:rsidP="006F731C">
            <w:pPr>
              <w:numPr>
                <w:ilvl w:val="0"/>
                <w:numId w:val="2"/>
              </w:numPr>
              <w:spacing w:before="0" w:after="0"/>
              <w:jc w:val="left"/>
              <w:rPr>
                <w:bCs/>
                <w:noProof/>
                <w:szCs w:val="24"/>
              </w:rPr>
            </w:pPr>
            <w:r w:rsidRPr="000E4AE8">
              <w:rPr>
                <w:noProof/>
                <w:szCs w:val="24"/>
              </w:rPr>
              <w:t>Land artificialisation</w:t>
            </w:r>
          </w:p>
        </w:tc>
        <w:tc>
          <w:tcPr>
            <w:tcW w:w="2665" w:type="dxa"/>
            <w:tcBorders>
              <w:top w:val="single" w:sz="4" w:space="0" w:color="auto"/>
              <w:left w:val="single" w:sz="4" w:space="0" w:color="auto"/>
              <w:bottom w:val="single" w:sz="4" w:space="0" w:color="auto"/>
              <w:right w:val="single" w:sz="4" w:space="0" w:color="auto"/>
            </w:tcBorders>
          </w:tcPr>
          <w:p w14:paraId="0277DA1E" w14:textId="77777777" w:rsidR="001D3001" w:rsidRPr="000E4AE8" w:rsidRDefault="001D3001" w:rsidP="001D3001">
            <w:pPr>
              <w:spacing w:after="0"/>
              <w:rPr>
                <w:bCs/>
                <w:noProof/>
                <w:szCs w:val="24"/>
              </w:rPr>
            </w:pPr>
            <w:r w:rsidRPr="000E4AE8">
              <w:rPr>
                <w:noProof/>
                <w:szCs w:val="24"/>
              </w:rPr>
              <w:t>Share of non-vegetated surface area (surfaces that have not been vegetated in ground, as well as on roofs, terraces and walls) compared to the total surface area of the plots of all assets</w:t>
            </w:r>
          </w:p>
        </w:tc>
      </w:tr>
    </w:tbl>
    <w:p w14:paraId="11A71379" w14:textId="77777777" w:rsidR="001D3001" w:rsidRPr="008861A7" w:rsidRDefault="001D3001" w:rsidP="001D3001">
      <w:pPr>
        <w:contextualSpacing/>
        <w:jc w:val="center"/>
        <w:rPr>
          <w:rFonts w:eastAsia="Calibri"/>
          <w:i/>
          <w:iCs/>
          <w:noProof/>
        </w:rPr>
      </w:pPr>
      <w:r w:rsidRPr="008861A7">
        <w:rPr>
          <w:rFonts w:eastAsia="Calibri"/>
          <w:i/>
          <w:iCs/>
          <w:noProof/>
        </w:rPr>
        <w:t xml:space="preserve">Table 3 </w:t>
      </w:r>
    </w:p>
    <w:p w14:paraId="51A2BF6E" w14:textId="77777777" w:rsidR="001D3001" w:rsidRPr="008861A7" w:rsidRDefault="001D3001" w:rsidP="001D3001">
      <w:pPr>
        <w:contextualSpacing/>
        <w:jc w:val="center"/>
        <w:rPr>
          <w:rFonts w:eastAsia="Calibri"/>
          <w:b/>
          <w:bCs/>
          <w:noProof/>
        </w:rPr>
      </w:pPr>
      <w:r w:rsidRPr="008861A7">
        <w:rPr>
          <w:rFonts w:eastAsia="Calibri"/>
          <w:b/>
          <w:bCs/>
          <w:noProof/>
        </w:rPr>
        <w:t>Additional indicators for social and employee, respect for human rights, anti-corruption and anti-bribery matters</w:t>
      </w:r>
    </w:p>
    <w:p w14:paraId="6B96BAD2" w14:textId="77777777" w:rsidR="001D3001" w:rsidRPr="008861A7" w:rsidRDefault="001D3001" w:rsidP="001D3001">
      <w:pPr>
        <w:contextualSpacing/>
        <w:jc w:val="center"/>
        <w:rPr>
          <w:rFonts w:eastAsia="Calibri"/>
          <w:b/>
          <w:bCs/>
          <w:noProof/>
        </w:rPr>
      </w:pPr>
    </w:p>
    <w:tbl>
      <w:tblPr>
        <w:tblStyle w:val="TableGrid2"/>
        <w:tblW w:w="13948" w:type="dxa"/>
        <w:tblLook w:val="04A0" w:firstRow="1" w:lastRow="0" w:firstColumn="1" w:lastColumn="0" w:noHBand="0" w:noVBand="1"/>
      </w:tblPr>
      <w:tblGrid>
        <w:gridCol w:w="1811"/>
        <w:gridCol w:w="9472"/>
        <w:gridCol w:w="2665"/>
      </w:tblGrid>
      <w:tr w:rsidR="001D3001" w:rsidRPr="008861A7" w14:paraId="18FB29F5" w14:textId="77777777" w:rsidTr="00010690">
        <w:trPr>
          <w:trHeight w:val="936"/>
        </w:trPr>
        <w:tc>
          <w:tcPr>
            <w:tcW w:w="13948" w:type="dxa"/>
            <w:gridSpan w:val="3"/>
            <w:tcBorders>
              <w:top w:val="single" w:sz="4" w:space="0" w:color="auto"/>
              <w:left w:val="single" w:sz="4" w:space="0" w:color="auto"/>
              <w:bottom w:val="single" w:sz="4" w:space="0" w:color="auto"/>
              <w:right w:val="single" w:sz="4" w:space="0" w:color="auto"/>
            </w:tcBorders>
            <w:vAlign w:val="center"/>
            <w:hideMark/>
          </w:tcPr>
          <w:p w14:paraId="1089FEA8" w14:textId="77777777" w:rsidR="001D3001" w:rsidRPr="008861A7" w:rsidRDefault="00010690" w:rsidP="00477C34">
            <w:pPr>
              <w:spacing w:after="0"/>
              <w:jc w:val="center"/>
              <w:rPr>
                <w:b/>
                <w:noProof/>
              </w:rPr>
            </w:pPr>
            <w:bookmarkStart w:id="18" w:name="_Hlk60757970"/>
            <w:r w:rsidRPr="008861A7">
              <w:rPr>
                <w:b/>
                <w:noProof/>
              </w:rPr>
              <w:t xml:space="preserve">INDICATORS FOR </w:t>
            </w:r>
            <w:r w:rsidR="001D3001" w:rsidRPr="008861A7">
              <w:rPr>
                <w:b/>
                <w:noProof/>
              </w:rPr>
              <w:t>SOCIAL AND EMPLOYEE, RESPECT FOR HUMAN RIGHTS, ANTI-CORRUPTION AND ANTI-BRIBERY MATTERS</w:t>
            </w:r>
          </w:p>
        </w:tc>
      </w:tr>
      <w:tr w:rsidR="001D3001" w:rsidRPr="008861A7" w14:paraId="0D2B62E4" w14:textId="77777777" w:rsidTr="00010690">
        <w:trPr>
          <w:trHeight w:val="457"/>
        </w:trPr>
        <w:tc>
          <w:tcPr>
            <w:tcW w:w="1811" w:type="dxa"/>
            <w:tcBorders>
              <w:top w:val="single" w:sz="4" w:space="0" w:color="auto"/>
              <w:left w:val="single" w:sz="4" w:space="0" w:color="auto"/>
              <w:right w:val="single" w:sz="4" w:space="0" w:color="auto"/>
            </w:tcBorders>
          </w:tcPr>
          <w:p w14:paraId="768554F2" w14:textId="77777777" w:rsidR="001D3001" w:rsidRPr="008861A7" w:rsidRDefault="001D3001" w:rsidP="00477C34">
            <w:pPr>
              <w:spacing w:after="0"/>
              <w:jc w:val="center"/>
              <w:rPr>
                <w:b/>
                <w:bCs/>
                <w:noProof/>
              </w:rPr>
            </w:pPr>
            <w:r w:rsidRPr="008861A7">
              <w:rPr>
                <w:b/>
                <w:noProof/>
              </w:rPr>
              <w:t>Adverse sustainability impact</w:t>
            </w:r>
          </w:p>
        </w:tc>
        <w:tc>
          <w:tcPr>
            <w:tcW w:w="9472" w:type="dxa"/>
            <w:tcBorders>
              <w:top w:val="single" w:sz="4" w:space="0" w:color="auto"/>
              <w:left w:val="single" w:sz="4" w:space="0" w:color="auto"/>
              <w:right w:val="single" w:sz="4" w:space="0" w:color="auto"/>
            </w:tcBorders>
          </w:tcPr>
          <w:p w14:paraId="7418C9E9" w14:textId="465BE99A" w:rsidR="001D3001" w:rsidRPr="008861A7" w:rsidRDefault="001D3001" w:rsidP="00477C34">
            <w:pPr>
              <w:spacing w:after="0"/>
              <w:jc w:val="center"/>
              <w:rPr>
                <w:b/>
                <w:noProof/>
              </w:rPr>
            </w:pPr>
            <w:r w:rsidRPr="008861A7">
              <w:rPr>
                <w:b/>
                <w:noProof/>
              </w:rPr>
              <w:t>Adverse impact</w:t>
            </w:r>
            <w:r w:rsidR="008C1110" w:rsidRPr="008861A7">
              <w:rPr>
                <w:b/>
                <w:noProof/>
              </w:rPr>
              <w:t xml:space="preserve"> on sustainability factors</w:t>
            </w:r>
          </w:p>
          <w:p w14:paraId="7606F58A" w14:textId="77777777" w:rsidR="001D3001" w:rsidRPr="008861A7" w:rsidRDefault="001D3001" w:rsidP="00477C34">
            <w:pPr>
              <w:spacing w:after="0"/>
              <w:jc w:val="center"/>
              <w:rPr>
                <w:b/>
                <w:bCs/>
                <w:noProof/>
              </w:rPr>
            </w:pPr>
            <w:r w:rsidRPr="008861A7">
              <w:rPr>
                <w:b/>
                <w:noProof/>
              </w:rPr>
              <w:t xml:space="preserve"> (qualitative or quantitative)</w:t>
            </w:r>
          </w:p>
        </w:tc>
        <w:tc>
          <w:tcPr>
            <w:tcW w:w="2665" w:type="dxa"/>
            <w:tcBorders>
              <w:top w:val="single" w:sz="4" w:space="0" w:color="auto"/>
              <w:left w:val="single" w:sz="4" w:space="0" w:color="auto"/>
              <w:right w:val="single" w:sz="4" w:space="0" w:color="auto"/>
            </w:tcBorders>
          </w:tcPr>
          <w:p w14:paraId="04069FC1" w14:textId="77777777" w:rsidR="001D3001" w:rsidRPr="008861A7" w:rsidRDefault="001D3001" w:rsidP="00477C34">
            <w:pPr>
              <w:spacing w:after="0"/>
              <w:jc w:val="center"/>
              <w:rPr>
                <w:b/>
                <w:bCs/>
                <w:noProof/>
              </w:rPr>
            </w:pPr>
            <w:r w:rsidRPr="008861A7">
              <w:rPr>
                <w:b/>
                <w:noProof/>
              </w:rPr>
              <w:t xml:space="preserve">Metric </w:t>
            </w:r>
          </w:p>
        </w:tc>
      </w:tr>
      <w:tr w:rsidR="001D3001" w:rsidRPr="008861A7" w14:paraId="364DEA74" w14:textId="77777777" w:rsidTr="00010690">
        <w:trPr>
          <w:trHeight w:val="457"/>
        </w:trPr>
        <w:tc>
          <w:tcPr>
            <w:tcW w:w="13948" w:type="dxa"/>
            <w:gridSpan w:val="3"/>
            <w:tcBorders>
              <w:top w:val="single" w:sz="4" w:space="0" w:color="auto"/>
              <w:left w:val="single" w:sz="4" w:space="0" w:color="auto"/>
              <w:right w:val="single" w:sz="4" w:space="0" w:color="auto"/>
            </w:tcBorders>
          </w:tcPr>
          <w:p w14:paraId="547D8C02" w14:textId="77777777" w:rsidR="001D3001" w:rsidRPr="008861A7" w:rsidRDefault="001D3001" w:rsidP="00477C34">
            <w:pPr>
              <w:spacing w:after="0"/>
              <w:jc w:val="center"/>
              <w:rPr>
                <w:b/>
                <w:bCs/>
                <w:noProof/>
              </w:rPr>
            </w:pPr>
          </w:p>
          <w:p w14:paraId="6F7117FE" w14:textId="77777777" w:rsidR="001D3001" w:rsidRPr="008861A7" w:rsidRDefault="001D3001" w:rsidP="00477C34">
            <w:pPr>
              <w:spacing w:after="0"/>
              <w:jc w:val="center"/>
              <w:rPr>
                <w:b/>
                <w:bCs/>
                <w:noProof/>
              </w:rPr>
            </w:pPr>
            <w:r w:rsidRPr="008861A7">
              <w:rPr>
                <w:b/>
                <w:bCs/>
                <w:noProof/>
              </w:rPr>
              <w:t>Indicators applicable to investments in investee companies</w:t>
            </w:r>
          </w:p>
          <w:p w14:paraId="60B2615C" w14:textId="77777777" w:rsidR="001D3001" w:rsidRPr="008861A7" w:rsidRDefault="001D3001" w:rsidP="00477C34">
            <w:pPr>
              <w:spacing w:after="0"/>
              <w:jc w:val="center"/>
              <w:rPr>
                <w:b/>
                <w:bCs/>
                <w:noProof/>
              </w:rPr>
            </w:pPr>
          </w:p>
        </w:tc>
      </w:tr>
      <w:tr w:rsidR="001D3001" w:rsidRPr="008861A7" w14:paraId="4275C495" w14:textId="77777777" w:rsidTr="00010690">
        <w:tc>
          <w:tcPr>
            <w:tcW w:w="1811" w:type="dxa"/>
            <w:vMerge w:val="restart"/>
            <w:tcBorders>
              <w:top w:val="single" w:sz="4" w:space="0" w:color="auto"/>
              <w:left w:val="single" w:sz="4" w:space="0" w:color="auto"/>
              <w:right w:val="single" w:sz="4" w:space="0" w:color="auto"/>
            </w:tcBorders>
          </w:tcPr>
          <w:p w14:paraId="66282A6C" w14:textId="77777777" w:rsidR="001D3001" w:rsidRPr="008861A7" w:rsidRDefault="001D3001" w:rsidP="00477C34">
            <w:pPr>
              <w:spacing w:after="0"/>
              <w:jc w:val="center"/>
              <w:rPr>
                <w:bCs/>
                <w:noProof/>
              </w:rPr>
            </w:pPr>
            <w:r w:rsidRPr="008861A7">
              <w:rPr>
                <w:bCs/>
                <w:noProof/>
              </w:rPr>
              <w:t>Social and employee matters</w:t>
            </w:r>
          </w:p>
        </w:tc>
        <w:tc>
          <w:tcPr>
            <w:tcW w:w="9472" w:type="dxa"/>
            <w:tcBorders>
              <w:top w:val="single" w:sz="4" w:space="0" w:color="auto"/>
              <w:left w:val="single" w:sz="4" w:space="0" w:color="auto"/>
              <w:bottom w:val="single" w:sz="4" w:space="0" w:color="auto"/>
              <w:right w:val="single" w:sz="4" w:space="0" w:color="auto"/>
            </w:tcBorders>
          </w:tcPr>
          <w:p w14:paraId="2DF0599C" w14:textId="77777777" w:rsidR="001D3001" w:rsidRPr="008861A7" w:rsidRDefault="001D3001" w:rsidP="006F731C">
            <w:pPr>
              <w:numPr>
                <w:ilvl w:val="0"/>
                <w:numId w:val="3"/>
              </w:numPr>
              <w:spacing w:before="0" w:after="0"/>
              <w:jc w:val="left"/>
              <w:rPr>
                <w:bCs/>
                <w:noProof/>
              </w:rPr>
            </w:pPr>
            <w:r w:rsidRPr="008861A7">
              <w:rPr>
                <w:bCs/>
                <w:noProof/>
              </w:rPr>
              <w:t>Investments in companies without workplace accident prevention policies</w:t>
            </w:r>
          </w:p>
        </w:tc>
        <w:tc>
          <w:tcPr>
            <w:tcW w:w="2665" w:type="dxa"/>
            <w:tcBorders>
              <w:top w:val="single" w:sz="4" w:space="0" w:color="auto"/>
              <w:left w:val="single" w:sz="4" w:space="0" w:color="auto"/>
              <w:bottom w:val="single" w:sz="4" w:space="0" w:color="auto"/>
              <w:right w:val="single" w:sz="4" w:space="0" w:color="auto"/>
            </w:tcBorders>
          </w:tcPr>
          <w:p w14:paraId="78AA907B" w14:textId="77777777" w:rsidR="001D3001" w:rsidRPr="008861A7" w:rsidRDefault="001D3001" w:rsidP="001D3001">
            <w:pPr>
              <w:spacing w:after="0"/>
              <w:rPr>
                <w:noProof/>
              </w:rPr>
            </w:pPr>
            <w:r w:rsidRPr="008861A7">
              <w:rPr>
                <w:noProof/>
              </w:rPr>
              <w:t>Share of investments in investee companies without a workplace accident prevention policy</w:t>
            </w:r>
          </w:p>
        </w:tc>
      </w:tr>
      <w:tr w:rsidR="001D3001" w:rsidRPr="008861A7" w14:paraId="532EBB45" w14:textId="77777777" w:rsidTr="00010690">
        <w:tc>
          <w:tcPr>
            <w:tcW w:w="1811" w:type="dxa"/>
            <w:vMerge/>
            <w:tcBorders>
              <w:left w:val="single" w:sz="4" w:space="0" w:color="auto"/>
              <w:right w:val="single" w:sz="4" w:space="0" w:color="auto"/>
            </w:tcBorders>
            <w:hideMark/>
          </w:tcPr>
          <w:p w14:paraId="3B035262"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hideMark/>
          </w:tcPr>
          <w:p w14:paraId="097C53AB" w14:textId="77777777" w:rsidR="001D3001" w:rsidRPr="008861A7" w:rsidRDefault="001D3001" w:rsidP="006F731C">
            <w:pPr>
              <w:numPr>
                <w:ilvl w:val="0"/>
                <w:numId w:val="3"/>
              </w:numPr>
              <w:spacing w:before="0" w:after="0"/>
              <w:jc w:val="left"/>
              <w:rPr>
                <w:bCs/>
                <w:noProof/>
              </w:rPr>
            </w:pPr>
            <w:r w:rsidRPr="008861A7">
              <w:rPr>
                <w:bCs/>
                <w:noProof/>
              </w:rPr>
              <w:t>Rate of accidents</w:t>
            </w:r>
          </w:p>
        </w:tc>
        <w:tc>
          <w:tcPr>
            <w:tcW w:w="2665" w:type="dxa"/>
            <w:tcBorders>
              <w:top w:val="single" w:sz="4" w:space="0" w:color="auto"/>
              <w:left w:val="single" w:sz="4" w:space="0" w:color="auto"/>
              <w:bottom w:val="single" w:sz="4" w:space="0" w:color="auto"/>
              <w:right w:val="single" w:sz="4" w:space="0" w:color="auto"/>
            </w:tcBorders>
            <w:hideMark/>
          </w:tcPr>
          <w:p w14:paraId="01A28757" w14:textId="77777777" w:rsidR="001D3001" w:rsidRPr="008861A7" w:rsidRDefault="001D3001" w:rsidP="001D3001">
            <w:pPr>
              <w:spacing w:after="0"/>
              <w:rPr>
                <w:noProof/>
              </w:rPr>
            </w:pPr>
            <w:r w:rsidRPr="008861A7">
              <w:rPr>
                <w:noProof/>
              </w:rPr>
              <w:t>Rate of accidents in investee companies expressed as a weighted average</w:t>
            </w:r>
          </w:p>
        </w:tc>
      </w:tr>
      <w:tr w:rsidR="001D3001" w:rsidRPr="008861A7" w14:paraId="5BCB8804" w14:textId="77777777" w:rsidTr="00010690">
        <w:tc>
          <w:tcPr>
            <w:tcW w:w="0" w:type="auto"/>
            <w:vMerge/>
            <w:tcBorders>
              <w:left w:val="single" w:sz="4" w:space="0" w:color="auto"/>
              <w:right w:val="single" w:sz="4" w:space="0" w:color="auto"/>
            </w:tcBorders>
            <w:vAlign w:val="center"/>
            <w:hideMark/>
          </w:tcPr>
          <w:p w14:paraId="42D3156B" w14:textId="77777777" w:rsidR="001D3001" w:rsidRPr="008861A7" w:rsidRDefault="001D3001" w:rsidP="00477C34">
            <w:pPr>
              <w:spacing w:after="0"/>
              <w:rPr>
                <w:bCs/>
                <w:noProof/>
              </w:rPr>
            </w:pPr>
          </w:p>
        </w:tc>
        <w:tc>
          <w:tcPr>
            <w:tcW w:w="9472" w:type="dxa"/>
            <w:tcBorders>
              <w:top w:val="single" w:sz="4" w:space="0" w:color="auto"/>
              <w:left w:val="single" w:sz="4" w:space="0" w:color="auto"/>
              <w:bottom w:val="single" w:sz="4" w:space="0" w:color="auto"/>
              <w:right w:val="single" w:sz="4" w:space="0" w:color="auto"/>
            </w:tcBorders>
            <w:hideMark/>
          </w:tcPr>
          <w:p w14:paraId="36E97686" w14:textId="77777777" w:rsidR="001D3001" w:rsidRPr="008861A7" w:rsidRDefault="001D3001" w:rsidP="006F731C">
            <w:pPr>
              <w:numPr>
                <w:ilvl w:val="0"/>
                <w:numId w:val="3"/>
              </w:numPr>
              <w:spacing w:before="0" w:after="0"/>
              <w:jc w:val="left"/>
              <w:rPr>
                <w:bCs/>
                <w:noProof/>
              </w:rPr>
            </w:pPr>
            <w:r w:rsidRPr="008861A7">
              <w:rPr>
                <w:bCs/>
                <w:noProof/>
              </w:rPr>
              <w:t>Number of days lost to injuries, accidents, fatalities or illness</w:t>
            </w:r>
          </w:p>
        </w:tc>
        <w:tc>
          <w:tcPr>
            <w:tcW w:w="2665" w:type="dxa"/>
            <w:tcBorders>
              <w:top w:val="single" w:sz="4" w:space="0" w:color="auto"/>
              <w:left w:val="single" w:sz="4" w:space="0" w:color="auto"/>
              <w:bottom w:val="single" w:sz="4" w:space="0" w:color="auto"/>
              <w:right w:val="single" w:sz="4" w:space="0" w:color="auto"/>
            </w:tcBorders>
            <w:hideMark/>
          </w:tcPr>
          <w:p w14:paraId="3574C58D" w14:textId="77777777" w:rsidR="001D3001" w:rsidRPr="008861A7" w:rsidRDefault="001D3001" w:rsidP="001D3001">
            <w:pPr>
              <w:spacing w:after="0"/>
              <w:rPr>
                <w:noProof/>
              </w:rPr>
            </w:pPr>
            <w:r w:rsidRPr="008861A7">
              <w:rPr>
                <w:noProof/>
              </w:rPr>
              <w:t>Number of workdays lost to injuries, accidents, fatalities or illness of investee companies expressed as a weighted average</w:t>
            </w:r>
          </w:p>
        </w:tc>
      </w:tr>
      <w:tr w:rsidR="001D3001" w:rsidRPr="008861A7" w14:paraId="1AEEA9D6" w14:textId="77777777" w:rsidTr="00010690">
        <w:tc>
          <w:tcPr>
            <w:tcW w:w="0" w:type="auto"/>
            <w:vMerge/>
            <w:tcBorders>
              <w:left w:val="single" w:sz="4" w:space="0" w:color="auto"/>
              <w:right w:val="single" w:sz="4" w:space="0" w:color="auto"/>
            </w:tcBorders>
            <w:vAlign w:val="center"/>
            <w:hideMark/>
          </w:tcPr>
          <w:p w14:paraId="2A2DDA78" w14:textId="77777777" w:rsidR="001D3001" w:rsidRPr="008861A7" w:rsidRDefault="001D3001" w:rsidP="00477C34">
            <w:pPr>
              <w:spacing w:after="0"/>
              <w:rPr>
                <w:bCs/>
                <w:noProof/>
              </w:rPr>
            </w:pPr>
          </w:p>
        </w:tc>
        <w:tc>
          <w:tcPr>
            <w:tcW w:w="9472" w:type="dxa"/>
            <w:tcBorders>
              <w:top w:val="single" w:sz="4" w:space="0" w:color="auto"/>
              <w:left w:val="single" w:sz="4" w:space="0" w:color="auto"/>
              <w:bottom w:val="single" w:sz="4" w:space="0" w:color="auto"/>
              <w:right w:val="single" w:sz="4" w:space="0" w:color="auto"/>
            </w:tcBorders>
            <w:hideMark/>
          </w:tcPr>
          <w:p w14:paraId="3C22FF57" w14:textId="77777777" w:rsidR="001D3001" w:rsidRPr="008861A7" w:rsidRDefault="001D3001" w:rsidP="006F731C">
            <w:pPr>
              <w:numPr>
                <w:ilvl w:val="0"/>
                <w:numId w:val="3"/>
              </w:numPr>
              <w:spacing w:before="0" w:after="0"/>
              <w:jc w:val="left"/>
              <w:rPr>
                <w:bCs/>
                <w:noProof/>
              </w:rPr>
            </w:pPr>
            <w:r w:rsidRPr="008861A7">
              <w:rPr>
                <w:bCs/>
                <w:noProof/>
              </w:rPr>
              <w:t xml:space="preserve">Lack of a supplier code of conduct </w:t>
            </w:r>
          </w:p>
        </w:tc>
        <w:tc>
          <w:tcPr>
            <w:tcW w:w="2665" w:type="dxa"/>
            <w:tcBorders>
              <w:top w:val="single" w:sz="4" w:space="0" w:color="auto"/>
              <w:left w:val="single" w:sz="4" w:space="0" w:color="auto"/>
              <w:bottom w:val="single" w:sz="4" w:space="0" w:color="auto"/>
              <w:right w:val="single" w:sz="4" w:space="0" w:color="auto"/>
            </w:tcBorders>
            <w:hideMark/>
          </w:tcPr>
          <w:p w14:paraId="25AA8CF7" w14:textId="77777777" w:rsidR="001D3001" w:rsidRPr="008861A7" w:rsidRDefault="001D3001" w:rsidP="001D3001">
            <w:pPr>
              <w:spacing w:after="0"/>
              <w:rPr>
                <w:noProof/>
              </w:rPr>
            </w:pPr>
            <w:r w:rsidRPr="008861A7">
              <w:rPr>
                <w:noProof/>
              </w:rPr>
              <w:t>Share of investments in investee companies without any supplier code of conduct (against unsafe working conditions, precarious work, child labour and forced labour)</w:t>
            </w:r>
          </w:p>
        </w:tc>
      </w:tr>
      <w:tr w:rsidR="001D3001" w:rsidRPr="008861A7" w14:paraId="6532E167" w14:textId="77777777" w:rsidTr="00010690">
        <w:tc>
          <w:tcPr>
            <w:tcW w:w="0" w:type="auto"/>
            <w:vMerge/>
            <w:tcBorders>
              <w:left w:val="single" w:sz="4" w:space="0" w:color="auto"/>
              <w:right w:val="single" w:sz="4" w:space="0" w:color="auto"/>
            </w:tcBorders>
            <w:vAlign w:val="center"/>
            <w:hideMark/>
          </w:tcPr>
          <w:p w14:paraId="50F642DE" w14:textId="77777777" w:rsidR="001D3001" w:rsidRPr="008861A7" w:rsidRDefault="001D3001" w:rsidP="00477C34">
            <w:pPr>
              <w:spacing w:after="0"/>
              <w:rPr>
                <w:bCs/>
                <w:noProof/>
              </w:rPr>
            </w:pPr>
          </w:p>
        </w:tc>
        <w:tc>
          <w:tcPr>
            <w:tcW w:w="9472" w:type="dxa"/>
            <w:tcBorders>
              <w:top w:val="single" w:sz="4" w:space="0" w:color="auto"/>
              <w:left w:val="single" w:sz="4" w:space="0" w:color="auto"/>
              <w:bottom w:val="single" w:sz="4" w:space="0" w:color="auto"/>
              <w:right w:val="single" w:sz="4" w:space="0" w:color="auto"/>
            </w:tcBorders>
            <w:hideMark/>
          </w:tcPr>
          <w:p w14:paraId="12702D78" w14:textId="77777777" w:rsidR="001D3001" w:rsidRPr="008861A7" w:rsidRDefault="001D3001" w:rsidP="006F731C">
            <w:pPr>
              <w:numPr>
                <w:ilvl w:val="0"/>
                <w:numId w:val="3"/>
              </w:numPr>
              <w:spacing w:before="0" w:after="0"/>
              <w:rPr>
                <w:bCs/>
                <w:noProof/>
              </w:rPr>
            </w:pPr>
            <w:r w:rsidRPr="008861A7">
              <w:rPr>
                <w:bCs/>
                <w:noProof/>
              </w:rPr>
              <w:t>Lack of grievance/complaints handling mechanism related to employee matters</w:t>
            </w:r>
          </w:p>
        </w:tc>
        <w:tc>
          <w:tcPr>
            <w:tcW w:w="2665" w:type="dxa"/>
            <w:tcBorders>
              <w:top w:val="single" w:sz="4" w:space="0" w:color="auto"/>
              <w:left w:val="single" w:sz="4" w:space="0" w:color="auto"/>
              <w:bottom w:val="single" w:sz="4" w:space="0" w:color="auto"/>
              <w:right w:val="single" w:sz="4" w:space="0" w:color="auto"/>
            </w:tcBorders>
            <w:hideMark/>
          </w:tcPr>
          <w:p w14:paraId="748D20DE" w14:textId="77777777" w:rsidR="001D3001" w:rsidRPr="008861A7" w:rsidRDefault="001D3001" w:rsidP="001D3001">
            <w:pPr>
              <w:spacing w:after="0"/>
              <w:rPr>
                <w:noProof/>
              </w:rPr>
            </w:pPr>
            <w:r w:rsidRPr="008861A7">
              <w:rPr>
                <w:noProof/>
              </w:rPr>
              <w:t>Share of investments in investee companies without any grievance/complaints handling mechanism related to employee matters</w:t>
            </w:r>
          </w:p>
        </w:tc>
      </w:tr>
      <w:tr w:rsidR="001D3001" w:rsidRPr="008861A7" w14:paraId="039A77E8" w14:textId="77777777" w:rsidTr="00010690">
        <w:tc>
          <w:tcPr>
            <w:tcW w:w="0" w:type="auto"/>
            <w:vMerge/>
            <w:tcBorders>
              <w:left w:val="single" w:sz="4" w:space="0" w:color="auto"/>
              <w:right w:val="single" w:sz="4" w:space="0" w:color="auto"/>
            </w:tcBorders>
            <w:vAlign w:val="center"/>
          </w:tcPr>
          <w:p w14:paraId="6BFE16E4" w14:textId="77777777" w:rsidR="001D3001" w:rsidRPr="008861A7" w:rsidRDefault="001D3001" w:rsidP="00477C34">
            <w:pPr>
              <w:spacing w:after="0"/>
              <w:rPr>
                <w:bCs/>
                <w:noProof/>
              </w:rPr>
            </w:pPr>
          </w:p>
        </w:tc>
        <w:tc>
          <w:tcPr>
            <w:tcW w:w="9472" w:type="dxa"/>
            <w:tcBorders>
              <w:top w:val="single" w:sz="4" w:space="0" w:color="auto"/>
              <w:left w:val="single" w:sz="4" w:space="0" w:color="auto"/>
              <w:bottom w:val="single" w:sz="4" w:space="0" w:color="auto"/>
              <w:right w:val="single" w:sz="4" w:space="0" w:color="auto"/>
            </w:tcBorders>
          </w:tcPr>
          <w:p w14:paraId="0DC106F1" w14:textId="77777777" w:rsidR="001D3001" w:rsidRPr="008861A7" w:rsidRDefault="001D3001" w:rsidP="006F731C">
            <w:pPr>
              <w:numPr>
                <w:ilvl w:val="0"/>
                <w:numId w:val="3"/>
              </w:numPr>
              <w:spacing w:before="0" w:after="0"/>
              <w:rPr>
                <w:bCs/>
                <w:noProof/>
              </w:rPr>
            </w:pPr>
            <w:r w:rsidRPr="008861A7">
              <w:rPr>
                <w:bCs/>
                <w:noProof/>
              </w:rPr>
              <w:t>Insufficient whistleblower protection</w:t>
            </w:r>
          </w:p>
        </w:tc>
        <w:tc>
          <w:tcPr>
            <w:tcW w:w="2665" w:type="dxa"/>
            <w:tcBorders>
              <w:top w:val="single" w:sz="4" w:space="0" w:color="auto"/>
              <w:left w:val="single" w:sz="4" w:space="0" w:color="auto"/>
              <w:bottom w:val="single" w:sz="4" w:space="0" w:color="auto"/>
              <w:right w:val="single" w:sz="4" w:space="0" w:color="auto"/>
            </w:tcBorders>
          </w:tcPr>
          <w:p w14:paraId="4134046C" w14:textId="77777777" w:rsidR="001D3001" w:rsidRPr="008861A7" w:rsidRDefault="001D3001" w:rsidP="001D3001">
            <w:pPr>
              <w:spacing w:after="0"/>
              <w:rPr>
                <w:noProof/>
              </w:rPr>
            </w:pPr>
            <w:r w:rsidRPr="008861A7">
              <w:rPr>
                <w:noProof/>
              </w:rPr>
              <w:t>Share of investments in entities without policies on the protection of whistleblowers</w:t>
            </w:r>
          </w:p>
        </w:tc>
      </w:tr>
      <w:tr w:rsidR="001D3001" w:rsidRPr="008861A7" w14:paraId="7995AB0C" w14:textId="77777777" w:rsidTr="00010690">
        <w:tc>
          <w:tcPr>
            <w:tcW w:w="0" w:type="auto"/>
            <w:vMerge/>
            <w:tcBorders>
              <w:left w:val="single" w:sz="4" w:space="0" w:color="auto"/>
              <w:right w:val="single" w:sz="4" w:space="0" w:color="auto"/>
            </w:tcBorders>
            <w:vAlign w:val="center"/>
            <w:hideMark/>
          </w:tcPr>
          <w:p w14:paraId="57F6BC7F" w14:textId="77777777" w:rsidR="001D3001" w:rsidRPr="008861A7" w:rsidRDefault="001D3001" w:rsidP="00477C34">
            <w:pPr>
              <w:spacing w:after="0"/>
              <w:rPr>
                <w:bCs/>
                <w:noProof/>
              </w:rPr>
            </w:pPr>
          </w:p>
        </w:tc>
        <w:tc>
          <w:tcPr>
            <w:tcW w:w="9472" w:type="dxa"/>
            <w:tcBorders>
              <w:top w:val="single" w:sz="4" w:space="0" w:color="auto"/>
              <w:left w:val="single" w:sz="4" w:space="0" w:color="auto"/>
              <w:bottom w:val="single" w:sz="4" w:space="0" w:color="auto"/>
              <w:right w:val="single" w:sz="4" w:space="0" w:color="auto"/>
            </w:tcBorders>
            <w:hideMark/>
          </w:tcPr>
          <w:p w14:paraId="2FAA3D56" w14:textId="77777777" w:rsidR="001D3001" w:rsidRPr="008861A7" w:rsidRDefault="001D3001" w:rsidP="006F731C">
            <w:pPr>
              <w:numPr>
                <w:ilvl w:val="0"/>
                <w:numId w:val="3"/>
              </w:numPr>
              <w:autoSpaceDE w:val="0"/>
              <w:autoSpaceDN w:val="0"/>
              <w:adjustRightInd w:val="0"/>
              <w:spacing w:before="0" w:after="0"/>
              <w:jc w:val="left"/>
              <w:rPr>
                <w:bCs/>
                <w:noProof/>
              </w:rPr>
            </w:pPr>
            <w:r w:rsidRPr="008861A7">
              <w:rPr>
                <w:bCs/>
                <w:noProof/>
              </w:rPr>
              <w:t xml:space="preserve">Incidents of discrimination </w:t>
            </w:r>
          </w:p>
        </w:tc>
        <w:tc>
          <w:tcPr>
            <w:tcW w:w="2665" w:type="dxa"/>
            <w:tcBorders>
              <w:top w:val="single" w:sz="4" w:space="0" w:color="auto"/>
              <w:left w:val="single" w:sz="4" w:space="0" w:color="auto"/>
              <w:bottom w:val="single" w:sz="4" w:space="0" w:color="auto"/>
              <w:right w:val="single" w:sz="4" w:space="0" w:color="auto"/>
            </w:tcBorders>
            <w:hideMark/>
          </w:tcPr>
          <w:p w14:paraId="30FFE6FB" w14:textId="77777777" w:rsidR="001D3001" w:rsidRPr="008861A7" w:rsidRDefault="001D3001" w:rsidP="00477C34">
            <w:pPr>
              <w:spacing w:after="0"/>
              <w:rPr>
                <w:noProof/>
              </w:rPr>
            </w:pPr>
            <w:r w:rsidRPr="008861A7">
              <w:rPr>
                <w:noProof/>
              </w:rPr>
              <w:t>1. Number of incidents of discrimination reported in investee companies expressed as a weighted average</w:t>
            </w:r>
          </w:p>
          <w:p w14:paraId="644D03BF" w14:textId="77777777" w:rsidR="001D3001" w:rsidRPr="008861A7" w:rsidRDefault="001D3001" w:rsidP="001D3001">
            <w:pPr>
              <w:spacing w:after="0"/>
              <w:rPr>
                <w:noProof/>
              </w:rPr>
            </w:pPr>
            <w:r w:rsidRPr="008861A7">
              <w:rPr>
                <w:noProof/>
              </w:rPr>
              <w:t>2. Number of incidents of discrimination leading to sanctions in investee companies expressed as a weighted average</w:t>
            </w:r>
          </w:p>
        </w:tc>
      </w:tr>
      <w:tr w:rsidR="001D3001" w:rsidRPr="008861A7" w14:paraId="69A67205" w14:textId="77777777" w:rsidTr="00010690">
        <w:trPr>
          <w:trHeight w:val="2964"/>
        </w:trPr>
        <w:tc>
          <w:tcPr>
            <w:tcW w:w="0" w:type="auto"/>
            <w:vMerge/>
            <w:tcBorders>
              <w:left w:val="single" w:sz="4" w:space="0" w:color="auto"/>
              <w:right w:val="single" w:sz="4" w:space="0" w:color="auto"/>
            </w:tcBorders>
            <w:vAlign w:val="center"/>
            <w:hideMark/>
          </w:tcPr>
          <w:p w14:paraId="7DCFE471" w14:textId="77777777" w:rsidR="001D3001" w:rsidRPr="008861A7" w:rsidRDefault="001D3001" w:rsidP="00477C34">
            <w:pPr>
              <w:spacing w:after="0"/>
              <w:rPr>
                <w:bCs/>
                <w:noProof/>
              </w:rPr>
            </w:pPr>
          </w:p>
        </w:tc>
        <w:tc>
          <w:tcPr>
            <w:tcW w:w="9472" w:type="dxa"/>
            <w:tcBorders>
              <w:top w:val="single" w:sz="4" w:space="0" w:color="auto"/>
              <w:left w:val="single" w:sz="4" w:space="0" w:color="auto"/>
              <w:right w:val="single" w:sz="4" w:space="0" w:color="auto"/>
            </w:tcBorders>
          </w:tcPr>
          <w:p w14:paraId="2B7BB146" w14:textId="77777777" w:rsidR="001D3001" w:rsidRPr="008861A7" w:rsidRDefault="001D3001" w:rsidP="006F731C">
            <w:pPr>
              <w:numPr>
                <w:ilvl w:val="0"/>
                <w:numId w:val="3"/>
              </w:numPr>
              <w:spacing w:before="0" w:after="0"/>
              <w:rPr>
                <w:bCs/>
                <w:noProof/>
              </w:rPr>
            </w:pPr>
            <w:r w:rsidRPr="008861A7">
              <w:rPr>
                <w:bCs/>
                <w:noProof/>
              </w:rPr>
              <w:t>Excessive CEO pay ratio</w:t>
            </w:r>
          </w:p>
        </w:tc>
        <w:tc>
          <w:tcPr>
            <w:tcW w:w="2665" w:type="dxa"/>
            <w:tcBorders>
              <w:top w:val="single" w:sz="4" w:space="0" w:color="auto"/>
              <w:left w:val="single" w:sz="4" w:space="0" w:color="auto"/>
              <w:right w:val="single" w:sz="4" w:space="0" w:color="auto"/>
            </w:tcBorders>
          </w:tcPr>
          <w:p w14:paraId="434C8566" w14:textId="77777777" w:rsidR="001D3001" w:rsidRPr="008861A7" w:rsidRDefault="001D3001" w:rsidP="00477C34">
            <w:pPr>
              <w:spacing w:after="0"/>
              <w:rPr>
                <w:noProof/>
              </w:rPr>
            </w:pPr>
            <w:r w:rsidRPr="008861A7">
              <w:rPr>
                <w:noProof/>
              </w:rPr>
              <w:t>Average ratio within investee companies of the annual total compensation for the highest compensated individual to the median annual total compensation for all employees (excluding the highest-compensated individual)</w:t>
            </w:r>
          </w:p>
        </w:tc>
      </w:tr>
      <w:tr w:rsidR="001D3001" w:rsidRPr="008861A7" w14:paraId="1B45076F" w14:textId="77777777" w:rsidTr="00010690">
        <w:tc>
          <w:tcPr>
            <w:tcW w:w="1811" w:type="dxa"/>
            <w:vMerge w:val="restart"/>
            <w:tcBorders>
              <w:top w:val="single" w:sz="4" w:space="0" w:color="auto"/>
              <w:left w:val="single" w:sz="4" w:space="0" w:color="auto"/>
              <w:right w:val="single" w:sz="4" w:space="0" w:color="auto"/>
            </w:tcBorders>
          </w:tcPr>
          <w:p w14:paraId="31710D19" w14:textId="77777777" w:rsidR="001D3001" w:rsidRPr="008861A7" w:rsidRDefault="001D3001" w:rsidP="00477C34">
            <w:pPr>
              <w:spacing w:after="0"/>
              <w:jc w:val="center"/>
              <w:rPr>
                <w:bCs/>
                <w:noProof/>
              </w:rPr>
            </w:pPr>
            <w:r w:rsidRPr="008861A7">
              <w:rPr>
                <w:bCs/>
                <w:noProof/>
              </w:rPr>
              <w:t>Human Rights</w:t>
            </w:r>
          </w:p>
        </w:tc>
        <w:tc>
          <w:tcPr>
            <w:tcW w:w="9472" w:type="dxa"/>
            <w:tcBorders>
              <w:top w:val="single" w:sz="4" w:space="0" w:color="auto"/>
              <w:left w:val="single" w:sz="4" w:space="0" w:color="auto"/>
              <w:bottom w:val="single" w:sz="4" w:space="0" w:color="auto"/>
              <w:right w:val="single" w:sz="4" w:space="0" w:color="auto"/>
            </w:tcBorders>
          </w:tcPr>
          <w:p w14:paraId="59104568" w14:textId="77777777" w:rsidR="001D3001" w:rsidRPr="008861A7" w:rsidRDefault="001D3001" w:rsidP="006F731C">
            <w:pPr>
              <w:numPr>
                <w:ilvl w:val="0"/>
                <w:numId w:val="3"/>
              </w:numPr>
              <w:spacing w:before="0" w:after="0"/>
              <w:rPr>
                <w:bCs/>
                <w:noProof/>
              </w:rPr>
            </w:pPr>
            <w:r w:rsidRPr="008861A7">
              <w:rPr>
                <w:bCs/>
                <w:noProof/>
              </w:rPr>
              <w:t>Lack of a human rights policy</w:t>
            </w:r>
          </w:p>
        </w:tc>
        <w:tc>
          <w:tcPr>
            <w:tcW w:w="2665" w:type="dxa"/>
            <w:tcBorders>
              <w:top w:val="single" w:sz="4" w:space="0" w:color="auto"/>
              <w:left w:val="single" w:sz="4" w:space="0" w:color="auto"/>
              <w:bottom w:val="single" w:sz="4" w:space="0" w:color="auto"/>
              <w:right w:val="single" w:sz="4" w:space="0" w:color="auto"/>
            </w:tcBorders>
          </w:tcPr>
          <w:p w14:paraId="60439201" w14:textId="77777777" w:rsidR="001D3001" w:rsidRPr="008861A7" w:rsidRDefault="001D3001" w:rsidP="001D3001">
            <w:pPr>
              <w:spacing w:after="0"/>
              <w:rPr>
                <w:bCs/>
                <w:noProof/>
              </w:rPr>
            </w:pPr>
            <w:r w:rsidRPr="008861A7">
              <w:rPr>
                <w:noProof/>
              </w:rPr>
              <w:t>Share of investments in entities without a human rights policy</w:t>
            </w:r>
          </w:p>
        </w:tc>
      </w:tr>
      <w:tr w:rsidR="001D3001" w:rsidRPr="008861A7" w14:paraId="760D6E7F" w14:textId="77777777" w:rsidTr="00010690">
        <w:tc>
          <w:tcPr>
            <w:tcW w:w="1811" w:type="dxa"/>
            <w:vMerge/>
            <w:tcBorders>
              <w:left w:val="single" w:sz="4" w:space="0" w:color="auto"/>
              <w:right w:val="single" w:sz="4" w:space="0" w:color="auto"/>
            </w:tcBorders>
          </w:tcPr>
          <w:p w14:paraId="423AE359"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6830A5BF" w14:textId="77777777" w:rsidR="001D3001" w:rsidRPr="008861A7" w:rsidRDefault="001D3001" w:rsidP="006F731C">
            <w:pPr>
              <w:numPr>
                <w:ilvl w:val="0"/>
                <w:numId w:val="3"/>
              </w:numPr>
              <w:spacing w:before="0" w:after="0"/>
              <w:rPr>
                <w:bCs/>
                <w:noProof/>
              </w:rPr>
            </w:pPr>
            <w:r w:rsidRPr="008861A7">
              <w:rPr>
                <w:bCs/>
                <w:noProof/>
              </w:rPr>
              <w:t xml:space="preserve">Lack of due diligence </w:t>
            </w:r>
          </w:p>
        </w:tc>
        <w:tc>
          <w:tcPr>
            <w:tcW w:w="2665" w:type="dxa"/>
            <w:tcBorders>
              <w:top w:val="single" w:sz="4" w:space="0" w:color="auto"/>
              <w:left w:val="single" w:sz="4" w:space="0" w:color="auto"/>
              <w:bottom w:val="single" w:sz="4" w:space="0" w:color="auto"/>
              <w:right w:val="single" w:sz="4" w:space="0" w:color="auto"/>
            </w:tcBorders>
          </w:tcPr>
          <w:p w14:paraId="2D53771D" w14:textId="77777777" w:rsidR="001D3001" w:rsidRPr="008861A7" w:rsidRDefault="001D3001" w:rsidP="001D3001">
            <w:pPr>
              <w:spacing w:after="0"/>
              <w:rPr>
                <w:bCs/>
                <w:noProof/>
              </w:rPr>
            </w:pPr>
            <w:r w:rsidRPr="008861A7">
              <w:rPr>
                <w:noProof/>
              </w:rPr>
              <w:t>Share of investments in entities without a due diligence process to identify, prevent, mitigate and address adverse human rights impacts</w:t>
            </w:r>
          </w:p>
        </w:tc>
      </w:tr>
      <w:tr w:rsidR="001D3001" w:rsidRPr="008861A7" w14:paraId="1602225F" w14:textId="77777777" w:rsidTr="00010690">
        <w:tc>
          <w:tcPr>
            <w:tcW w:w="1811" w:type="dxa"/>
            <w:vMerge/>
            <w:tcBorders>
              <w:left w:val="single" w:sz="4" w:space="0" w:color="auto"/>
              <w:right w:val="single" w:sz="4" w:space="0" w:color="auto"/>
            </w:tcBorders>
          </w:tcPr>
          <w:p w14:paraId="7C54EB9B"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60DF81AF" w14:textId="77777777" w:rsidR="001D3001" w:rsidRPr="008861A7" w:rsidRDefault="001D3001" w:rsidP="006F731C">
            <w:pPr>
              <w:numPr>
                <w:ilvl w:val="0"/>
                <w:numId w:val="3"/>
              </w:numPr>
              <w:spacing w:before="0" w:after="0"/>
              <w:rPr>
                <w:bCs/>
                <w:noProof/>
              </w:rPr>
            </w:pPr>
            <w:r w:rsidRPr="008861A7">
              <w:rPr>
                <w:bCs/>
                <w:noProof/>
              </w:rPr>
              <w:t xml:space="preserve">Lack of processes and measures for preventing trafficking in human beings </w:t>
            </w:r>
          </w:p>
        </w:tc>
        <w:tc>
          <w:tcPr>
            <w:tcW w:w="2665" w:type="dxa"/>
            <w:tcBorders>
              <w:top w:val="single" w:sz="4" w:space="0" w:color="auto"/>
              <w:left w:val="single" w:sz="4" w:space="0" w:color="auto"/>
              <w:bottom w:val="single" w:sz="4" w:space="0" w:color="auto"/>
              <w:right w:val="single" w:sz="4" w:space="0" w:color="auto"/>
            </w:tcBorders>
          </w:tcPr>
          <w:p w14:paraId="797EF176" w14:textId="77777777" w:rsidR="001D3001" w:rsidRPr="008861A7" w:rsidRDefault="001D3001" w:rsidP="001D3001">
            <w:pPr>
              <w:spacing w:after="0"/>
              <w:rPr>
                <w:bCs/>
                <w:noProof/>
              </w:rPr>
            </w:pPr>
            <w:r w:rsidRPr="008861A7">
              <w:rPr>
                <w:noProof/>
              </w:rPr>
              <w:t>Share of investments in investee companies without policies against trafficking in human beings</w:t>
            </w:r>
          </w:p>
        </w:tc>
      </w:tr>
      <w:tr w:rsidR="001D3001" w:rsidRPr="008861A7" w14:paraId="5817C791" w14:textId="77777777" w:rsidTr="00010690">
        <w:tc>
          <w:tcPr>
            <w:tcW w:w="1811" w:type="dxa"/>
            <w:vMerge/>
            <w:tcBorders>
              <w:left w:val="single" w:sz="4" w:space="0" w:color="auto"/>
              <w:right w:val="single" w:sz="4" w:space="0" w:color="auto"/>
            </w:tcBorders>
          </w:tcPr>
          <w:p w14:paraId="6AED5C91"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2F052083" w14:textId="08A1249C" w:rsidR="001D3001" w:rsidRPr="008861A7" w:rsidRDefault="001D3001" w:rsidP="004D6139">
            <w:pPr>
              <w:numPr>
                <w:ilvl w:val="0"/>
                <w:numId w:val="3"/>
              </w:numPr>
              <w:spacing w:before="0" w:after="0"/>
              <w:rPr>
                <w:bCs/>
                <w:noProof/>
              </w:rPr>
            </w:pPr>
            <w:r w:rsidRPr="008861A7">
              <w:rPr>
                <w:bCs/>
                <w:noProof/>
                <w:color w:val="000000"/>
              </w:rPr>
              <w:t>Operations and suppliers at significant risk of incidents of child labour</w:t>
            </w:r>
            <w:r w:rsidR="00E52D38">
              <w:rPr>
                <w:bCs/>
                <w:noProof/>
                <w:color w:val="000000"/>
              </w:rPr>
              <w:t xml:space="preserve"> </w:t>
            </w:r>
          </w:p>
        </w:tc>
        <w:tc>
          <w:tcPr>
            <w:tcW w:w="2665" w:type="dxa"/>
            <w:tcBorders>
              <w:top w:val="single" w:sz="4" w:space="0" w:color="auto"/>
              <w:left w:val="single" w:sz="4" w:space="0" w:color="auto"/>
              <w:bottom w:val="single" w:sz="4" w:space="0" w:color="auto"/>
              <w:right w:val="single" w:sz="4" w:space="0" w:color="auto"/>
            </w:tcBorders>
          </w:tcPr>
          <w:p w14:paraId="72BD028D" w14:textId="5F6DB929" w:rsidR="001D3001" w:rsidRPr="008861A7" w:rsidRDefault="001D3001" w:rsidP="00D911AC">
            <w:pPr>
              <w:spacing w:after="0"/>
              <w:rPr>
                <w:bCs/>
                <w:noProof/>
              </w:rPr>
            </w:pPr>
            <w:r w:rsidRPr="008861A7">
              <w:rPr>
                <w:noProof/>
              </w:rPr>
              <w:t>Share of investments in investee companies exposed to operations and suppliers at significant risk of incidents of child labour in terms of geographic areas or type of operation</w:t>
            </w:r>
          </w:p>
        </w:tc>
      </w:tr>
      <w:tr w:rsidR="001D3001" w:rsidRPr="008861A7" w14:paraId="2B50FD4F" w14:textId="77777777" w:rsidTr="00010690">
        <w:tc>
          <w:tcPr>
            <w:tcW w:w="1811" w:type="dxa"/>
            <w:vMerge/>
            <w:tcBorders>
              <w:left w:val="single" w:sz="4" w:space="0" w:color="auto"/>
              <w:right w:val="single" w:sz="4" w:space="0" w:color="auto"/>
            </w:tcBorders>
          </w:tcPr>
          <w:p w14:paraId="234FF8B1"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4E04712C" w14:textId="77777777" w:rsidR="001D3001" w:rsidRPr="008861A7" w:rsidRDefault="001D3001" w:rsidP="006F731C">
            <w:pPr>
              <w:numPr>
                <w:ilvl w:val="0"/>
                <w:numId w:val="3"/>
              </w:numPr>
              <w:spacing w:before="0" w:after="0"/>
              <w:rPr>
                <w:bCs/>
                <w:noProof/>
              </w:rPr>
            </w:pPr>
            <w:r w:rsidRPr="008861A7">
              <w:rPr>
                <w:bCs/>
                <w:noProof/>
              </w:rPr>
              <w:t>Operations and suppliers at significant risk of incidents of forced or compulsory labour</w:t>
            </w:r>
          </w:p>
        </w:tc>
        <w:tc>
          <w:tcPr>
            <w:tcW w:w="2665" w:type="dxa"/>
            <w:tcBorders>
              <w:top w:val="single" w:sz="4" w:space="0" w:color="auto"/>
              <w:left w:val="single" w:sz="4" w:space="0" w:color="auto"/>
              <w:bottom w:val="single" w:sz="4" w:space="0" w:color="auto"/>
              <w:right w:val="single" w:sz="4" w:space="0" w:color="auto"/>
            </w:tcBorders>
          </w:tcPr>
          <w:p w14:paraId="1B767AC8" w14:textId="77777777" w:rsidR="001D3001" w:rsidRPr="008861A7" w:rsidRDefault="001D3001" w:rsidP="001D3001">
            <w:pPr>
              <w:spacing w:after="0"/>
              <w:rPr>
                <w:noProof/>
              </w:rPr>
            </w:pPr>
            <w:r w:rsidRPr="008861A7">
              <w:rPr>
                <w:noProof/>
              </w:rPr>
              <w:t>Share of the investments in investee companies exposed to operations and suppliers at significant risk of incidents of forced or compulsory labour in terms in terms of geographic areas and/or the type of operation</w:t>
            </w:r>
          </w:p>
        </w:tc>
      </w:tr>
      <w:tr w:rsidR="001D3001" w:rsidRPr="008861A7" w14:paraId="500A3565" w14:textId="77777777" w:rsidTr="00010690">
        <w:tc>
          <w:tcPr>
            <w:tcW w:w="1811" w:type="dxa"/>
            <w:vMerge/>
            <w:tcBorders>
              <w:left w:val="single" w:sz="4" w:space="0" w:color="auto"/>
              <w:bottom w:val="single" w:sz="4" w:space="0" w:color="auto"/>
              <w:right w:val="single" w:sz="4" w:space="0" w:color="auto"/>
            </w:tcBorders>
          </w:tcPr>
          <w:p w14:paraId="5D129172"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2C62A2C6" w14:textId="77777777" w:rsidR="001D3001" w:rsidRPr="008861A7" w:rsidRDefault="001D3001" w:rsidP="006F731C">
            <w:pPr>
              <w:numPr>
                <w:ilvl w:val="0"/>
                <w:numId w:val="3"/>
              </w:numPr>
              <w:spacing w:before="0" w:after="0"/>
              <w:rPr>
                <w:bCs/>
                <w:noProof/>
              </w:rPr>
            </w:pPr>
            <w:r w:rsidRPr="008861A7">
              <w:rPr>
                <w:bCs/>
                <w:noProof/>
              </w:rPr>
              <w:t>Number of identified cases of severe human rights issues and incidents</w:t>
            </w:r>
          </w:p>
        </w:tc>
        <w:tc>
          <w:tcPr>
            <w:tcW w:w="2665" w:type="dxa"/>
            <w:tcBorders>
              <w:top w:val="single" w:sz="4" w:space="0" w:color="auto"/>
              <w:left w:val="single" w:sz="4" w:space="0" w:color="auto"/>
              <w:bottom w:val="single" w:sz="4" w:space="0" w:color="auto"/>
              <w:right w:val="single" w:sz="4" w:space="0" w:color="auto"/>
            </w:tcBorders>
          </w:tcPr>
          <w:p w14:paraId="5F0B5008" w14:textId="77777777" w:rsidR="001D3001" w:rsidRPr="008861A7" w:rsidRDefault="001D3001" w:rsidP="001D3001">
            <w:pPr>
              <w:spacing w:after="0"/>
              <w:rPr>
                <w:noProof/>
              </w:rPr>
            </w:pPr>
            <w:r w:rsidRPr="008861A7">
              <w:rPr>
                <w:noProof/>
              </w:rPr>
              <w:t>Number of cases of severe human rights issues and incidents connected to investee companies on a weighted average basis</w:t>
            </w:r>
          </w:p>
        </w:tc>
      </w:tr>
      <w:tr w:rsidR="001D3001" w:rsidRPr="008861A7" w14:paraId="6E3B6807" w14:textId="77777777" w:rsidTr="00010690">
        <w:tc>
          <w:tcPr>
            <w:tcW w:w="1811" w:type="dxa"/>
            <w:vMerge w:val="restart"/>
            <w:tcBorders>
              <w:top w:val="single" w:sz="4" w:space="0" w:color="auto"/>
              <w:left w:val="single" w:sz="4" w:space="0" w:color="auto"/>
              <w:right w:val="single" w:sz="4" w:space="0" w:color="auto"/>
            </w:tcBorders>
          </w:tcPr>
          <w:p w14:paraId="32AF5283" w14:textId="77777777" w:rsidR="001D3001" w:rsidRPr="008861A7" w:rsidRDefault="001D3001" w:rsidP="00477C34">
            <w:pPr>
              <w:spacing w:after="0"/>
              <w:jc w:val="center"/>
              <w:rPr>
                <w:bCs/>
                <w:noProof/>
              </w:rPr>
            </w:pPr>
            <w:r w:rsidRPr="008861A7">
              <w:rPr>
                <w:bCs/>
                <w:noProof/>
              </w:rPr>
              <w:t>Anti-corruption and anti-bribery</w:t>
            </w:r>
          </w:p>
        </w:tc>
        <w:tc>
          <w:tcPr>
            <w:tcW w:w="9472" w:type="dxa"/>
            <w:tcBorders>
              <w:top w:val="single" w:sz="4" w:space="0" w:color="auto"/>
              <w:left w:val="single" w:sz="4" w:space="0" w:color="auto"/>
              <w:bottom w:val="single" w:sz="4" w:space="0" w:color="auto"/>
              <w:right w:val="single" w:sz="4" w:space="0" w:color="auto"/>
            </w:tcBorders>
          </w:tcPr>
          <w:p w14:paraId="0AFD37DF" w14:textId="77777777" w:rsidR="001D3001" w:rsidRPr="008861A7" w:rsidRDefault="001D3001" w:rsidP="006F731C">
            <w:pPr>
              <w:numPr>
                <w:ilvl w:val="0"/>
                <w:numId w:val="3"/>
              </w:numPr>
              <w:spacing w:before="0" w:after="0"/>
              <w:rPr>
                <w:bCs/>
                <w:noProof/>
              </w:rPr>
            </w:pPr>
            <w:r w:rsidRPr="008861A7">
              <w:rPr>
                <w:bCs/>
                <w:noProof/>
              </w:rPr>
              <w:t>Lack of anti-corruption and anti-bribery policies</w:t>
            </w:r>
          </w:p>
        </w:tc>
        <w:tc>
          <w:tcPr>
            <w:tcW w:w="2665" w:type="dxa"/>
            <w:tcBorders>
              <w:top w:val="single" w:sz="4" w:space="0" w:color="auto"/>
              <w:left w:val="single" w:sz="4" w:space="0" w:color="auto"/>
              <w:bottom w:val="single" w:sz="4" w:space="0" w:color="auto"/>
              <w:right w:val="single" w:sz="4" w:space="0" w:color="auto"/>
            </w:tcBorders>
          </w:tcPr>
          <w:p w14:paraId="2F55160B" w14:textId="77777777" w:rsidR="001D3001" w:rsidRPr="008861A7" w:rsidRDefault="001D3001" w:rsidP="001D3001">
            <w:pPr>
              <w:spacing w:after="0"/>
              <w:rPr>
                <w:noProof/>
              </w:rPr>
            </w:pPr>
            <w:r w:rsidRPr="008861A7">
              <w:rPr>
                <w:noProof/>
              </w:rPr>
              <w:t>Share of investments in entities without policies on anti-corruption and anti-bribery consistent with the United Nations Convention against Corruption</w:t>
            </w:r>
          </w:p>
        </w:tc>
      </w:tr>
      <w:tr w:rsidR="001D3001" w:rsidRPr="008861A7" w14:paraId="29BB9DCB" w14:textId="77777777" w:rsidTr="00010690">
        <w:tc>
          <w:tcPr>
            <w:tcW w:w="1811" w:type="dxa"/>
            <w:vMerge/>
            <w:tcBorders>
              <w:left w:val="single" w:sz="4" w:space="0" w:color="auto"/>
              <w:right w:val="single" w:sz="4" w:space="0" w:color="auto"/>
            </w:tcBorders>
          </w:tcPr>
          <w:p w14:paraId="7812D20B"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0510F9CB" w14:textId="77777777" w:rsidR="001D3001" w:rsidRPr="008861A7" w:rsidRDefault="001D3001" w:rsidP="006F731C">
            <w:pPr>
              <w:numPr>
                <w:ilvl w:val="0"/>
                <w:numId w:val="3"/>
              </w:numPr>
              <w:spacing w:before="0" w:after="0"/>
              <w:rPr>
                <w:bCs/>
                <w:noProof/>
              </w:rPr>
            </w:pPr>
            <w:r w:rsidRPr="008861A7">
              <w:rPr>
                <w:bCs/>
                <w:noProof/>
              </w:rPr>
              <w:t>Cases of insufficient action taken to address breaches of standards of anti-corruption and anti-bribery</w:t>
            </w:r>
          </w:p>
        </w:tc>
        <w:tc>
          <w:tcPr>
            <w:tcW w:w="2665" w:type="dxa"/>
            <w:tcBorders>
              <w:top w:val="single" w:sz="4" w:space="0" w:color="auto"/>
              <w:left w:val="single" w:sz="4" w:space="0" w:color="auto"/>
              <w:bottom w:val="single" w:sz="4" w:space="0" w:color="auto"/>
              <w:right w:val="single" w:sz="4" w:space="0" w:color="auto"/>
            </w:tcBorders>
          </w:tcPr>
          <w:p w14:paraId="774B95B8" w14:textId="77777777" w:rsidR="001D3001" w:rsidRPr="008861A7" w:rsidRDefault="001D3001" w:rsidP="001D3001">
            <w:pPr>
              <w:spacing w:after="0"/>
              <w:rPr>
                <w:noProof/>
              </w:rPr>
            </w:pPr>
            <w:r w:rsidRPr="008861A7">
              <w:rPr>
                <w:noProof/>
              </w:rPr>
              <w:t>Share of investments in investee companies with identified insufficiencies in actions taken to address breaches in procedures and standards of anti-corruption and anti-bribery</w:t>
            </w:r>
          </w:p>
        </w:tc>
      </w:tr>
      <w:tr w:rsidR="001D3001" w:rsidRPr="008861A7" w14:paraId="3581E44F" w14:textId="77777777" w:rsidTr="00010690">
        <w:tc>
          <w:tcPr>
            <w:tcW w:w="1811" w:type="dxa"/>
            <w:vMerge/>
            <w:tcBorders>
              <w:left w:val="single" w:sz="4" w:space="0" w:color="auto"/>
              <w:right w:val="single" w:sz="4" w:space="0" w:color="auto"/>
            </w:tcBorders>
          </w:tcPr>
          <w:p w14:paraId="1DA14898"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4F6AAC82" w14:textId="77777777" w:rsidR="001D3001" w:rsidRPr="008861A7" w:rsidRDefault="001D3001" w:rsidP="006F731C">
            <w:pPr>
              <w:numPr>
                <w:ilvl w:val="0"/>
                <w:numId w:val="3"/>
              </w:numPr>
              <w:spacing w:before="0" w:after="0"/>
              <w:rPr>
                <w:bCs/>
                <w:noProof/>
              </w:rPr>
            </w:pPr>
            <w:r w:rsidRPr="008861A7">
              <w:rPr>
                <w:bCs/>
                <w:noProof/>
              </w:rPr>
              <w:t>Number of convictions and amount of fines for violation of anti-corruption and anti-bribery laws</w:t>
            </w:r>
          </w:p>
        </w:tc>
        <w:tc>
          <w:tcPr>
            <w:tcW w:w="2665" w:type="dxa"/>
            <w:tcBorders>
              <w:top w:val="single" w:sz="4" w:space="0" w:color="auto"/>
              <w:left w:val="single" w:sz="4" w:space="0" w:color="auto"/>
              <w:bottom w:val="single" w:sz="4" w:space="0" w:color="auto"/>
              <w:right w:val="single" w:sz="4" w:space="0" w:color="auto"/>
            </w:tcBorders>
          </w:tcPr>
          <w:p w14:paraId="4A68E765" w14:textId="77777777" w:rsidR="001D3001" w:rsidRPr="008861A7" w:rsidRDefault="001D3001" w:rsidP="001D3001">
            <w:pPr>
              <w:spacing w:after="0"/>
              <w:rPr>
                <w:bCs/>
                <w:noProof/>
              </w:rPr>
            </w:pPr>
            <w:r w:rsidRPr="008861A7">
              <w:rPr>
                <w:noProof/>
              </w:rPr>
              <w:t>Numbers of convictions and amount of fines for violations of anti-corruption and anti-bribery laws by investee companies</w:t>
            </w:r>
          </w:p>
        </w:tc>
      </w:tr>
      <w:tr w:rsidR="001D3001" w:rsidRPr="008861A7" w14:paraId="6B85DFDC" w14:textId="77777777" w:rsidTr="00010690">
        <w:trPr>
          <w:trHeight w:val="423"/>
        </w:trPr>
        <w:tc>
          <w:tcPr>
            <w:tcW w:w="13948" w:type="dxa"/>
            <w:gridSpan w:val="3"/>
            <w:tcBorders>
              <w:left w:val="single" w:sz="4" w:space="0" w:color="auto"/>
              <w:right w:val="single" w:sz="4" w:space="0" w:color="auto"/>
            </w:tcBorders>
          </w:tcPr>
          <w:p w14:paraId="532083A3" w14:textId="77777777" w:rsidR="001D3001" w:rsidRPr="008861A7" w:rsidRDefault="001D3001" w:rsidP="00477C34">
            <w:pPr>
              <w:spacing w:after="0"/>
              <w:jc w:val="center"/>
              <w:rPr>
                <w:b/>
                <w:bCs/>
                <w:noProof/>
              </w:rPr>
            </w:pPr>
          </w:p>
          <w:p w14:paraId="2166F55C" w14:textId="77777777" w:rsidR="001D3001" w:rsidRPr="008861A7" w:rsidRDefault="001D3001" w:rsidP="00477C34">
            <w:pPr>
              <w:spacing w:after="0"/>
              <w:jc w:val="center"/>
              <w:rPr>
                <w:b/>
                <w:bCs/>
                <w:noProof/>
              </w:rPr>
            </w:pPr>
            <w:r w:rsidRPr="008861A7">
              <w:rPr>
                <w:b/>
                <w:bCs/>
                <w:noProof/>
              </w:rPr>
              <w:t>Indicators applicable to investments in sovereigns and supranationals</w:t>
            </w:r>
          </w:p>
          <w:p w14:paraId="05DF888B" w14:textId="77777777" w:rsidR="001D3001" w:rsidRPr="008861A7" w:rsidRDefault="001D3001" w:rsidP="00477C34">
            <w:pPr>
              <w:spacing w:after="0"/>
              <w:jc w:val="center"/>
              <w:rPr>
                <w:b/>
                <w:bCs/>
                <w:noProof/>
              </w:rPr>
            </w:pPr>
          </w:p>
        </w:tc>
      </w:tr>
      <w:tr w:rsidR="001D3001" w:rsidRPr="008861A7" w14:paraId="4E43D995" w14:textId="77777777" w:rsidTr="00010690">
        <w:tc>
          <w:tcPr>
            <w:tcW w:w="1811" w:type="dxa"/>
            <w:tcBorders>
              <w:left w:val="single" w:sz="4" w:space="0" w:color="auto"/>
              <w:right w:val="single" w:sz="4" w:space="0" w:color="auto"/>
            </w:tcBorders>
          </w:tcPr>
          <w:p w14:paraId="09E9F0F0" w14:textId="77777777" w:rsidR="001D3001" w:rsidRPr="008861A7" w:rsidRDefault="001D3001" w:rsidP="00477C34">
            <w:pPr>
              <w:spacing w:after="0"/>
              <w:rPr>
                <w:bCs/>
                <w:noProof/>
              </w:rPr>
            </w:pPr>
            <w:r w:rsidRPr="008861A7">
              <w:rPr>
                <w:bCs/>
                <w:noProof/>
              </w:rPr>
              <w:t>Social</w:t>
            </w:r>
          </w:p>
        </w:tc>
        <w:tc>
          <w:tcPr>
            <w:tcW w:w="9472" w:type="dxa"/>
            <w:tcBorders>
              <w:top w:val="single" w:sz="4" w:space="0" w:color="auto"/>
              <w:left w:val="single" w:sz="4" w:space="0" w:color="auto"/>
              <w:bottom w:val="single" w:sz="4" w:space="0" w:color="auto"/>
              <w:right w:val="single" w:sz="4" w:space="0" w:color="auto"/>
            </w:tcBorders>
          </w:tcPr>
          <w:p w14:paraId="6ECCDDF5" w14:textId="77777777" w:rsidR="001D3001" w:rsidRPr="008861A7" w:rsidRDefault="001D3001" w:rsidP="006F731C">
            <w:pPr>
              <w:pStyle w:val="ListParagraph"/>
              <w:numPr>
                <w:ilvl w:val="0"/>
                <w:numId w:val="3"/>
              </w:numPr>
              <w:spacing w:after="0"/>
              <w:rPr>
                <w:rFonts w:ascii="Times New Roman" w:hAnsi="Times New Roman"/>
                <w:bCs/>
                <w:noProof/>
              </w:rPr>
            </w:pPr>
            <w:r w:rsidRPr="008861A7">
              <w:rPr>
                <w:rFonts w:ascii="Times New Roman" w:hAnsi="Times New Roman"/>
                <w:bCs/>
                <w:noProof/>
              </w:rPr>
              <w:t>Average income inequality score</w:t>
            </w:r>
          </w:p>
          <w:p w14:paraId="446BF7BD" w14:textId="77777777" w:rsidR="001D3001" w:rsidRPr="008861A7" w:rsidRDefault="001D3001" w:rsidP="00477C34">
            <w:pPr>
              <w:spacing w:after="0"/>
              <w:ind w:left="360"/>
              <w:rPr>
                <w:bCs/>
                <w:noProof/>
              </w:rPr>
            </w:pPr>
          </w:p>
        </w:tc>
        <w:tc>
          <w:tcPr>
            <w:tcW w:w="2665" w:type="dxa"/>
            <w:tcBorders>
              <w:top w:val="single" w:sz="4" w:space="0" w:color="auto"/>
              <w:left w:val="single" w:sz="4" w:space="0" w:color="auto"/>
              <w:bottom w:val="single" w:sz="4" w:space="0" w:color="auto"/>
              <w:right w:val="single" w:sz="4" w:space="0" w:color="auto"/>
            </w:tcBorders>
          </w:tcPr>
          <w:p w14:paraId="7D0BF1B0" w14:textId="77777777" w:rsidR="001D3001" w:rsidRPr="008861A7" w:rsidRDefault="001D3001" w:rsidP="001D3001">
            <w:pPr>
              <w:spacing w:after="0"/>
              <w:rPr>
                <w:bCs/>
                <w:noProof/>
              </w:rPr>
            </w:pPr>
            <w:r w:rsidRPr="008861A7">
              <w:rPr>
                <w:bCs/>
                <w:noProof/>
              </w:rPr>
              <w:t>The distribution of income and economic inequality among the participants in a particular economy including a quantitative indicator explained in the explanation column</w:t>
            </w:r>
          </w:p>
        </w:tc>
      </w:tr>
      <w:tr w:rsidR="001D3001" w:rsidRPr="008861A7" w14:paraId="354F7230" w14:textId="77777777" w:rsidTr="00010690">
        <w:tc>
          <w:tcPr>
            <w:tcW w:w="1811" w:type="dxa"/>
            <w:tcBorders>
              <w:left w:val="single" w:sz="4" w:space="0" w:color="auto"/>
              <w:right w:val="single" w:sz="4" w:space="0" w:color="auto"/>
            </w:tcBorders>
          </w:tcPr>
          <w:p w14:paraId="1BFF11A8"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23551C6B" w14:textId="77777777" w:rsidR="001D3001" w:rsidRPr="008861A7" w:rsidRDefault="001D3001" w:rsidP="006F731C">
            <w:pPr>
              <w:numPr>
                <w:ilvl w:val="0"/>
                <w:numId w:val="3"/>
              </w:numPr>
              <w:spacing w:before="0" w:after="0"/>
              <w:rPr>
                <w:bCs/>
                <w:noProof/>
              </w:rPr>
            </w:pPr>
            <w:r w:rsidRPr="008861A7">
              <w:rPr>
                <w:bCs/>
                <w:noProof/>
              </w:rPr>
              <w:t xml:space="preserve">Average freedom of expression score </w:t>
            </w:r>
            <w:r w:rsidRPr="008861A7">
              <w:rPr>
                <w:bCs/>
                <w:noProof/>
              </w:rPr>
              <w:tab/>
            </w:r>
          </w:p>
        </w:tc>
        <w:tc>
          <w:tcPr>
            <w:tcW w:w="2665" w:type="dxa"/>
            <w:tcBorders>
              <w:top w:val="single" w:sz="4" w:space="0" w:color="auto"/>
              <w:left w:val="single" w:sz="4" w:space="0" w:color="auto"/>
              <w:bottom w:val="single" w:sz="4" w:space="0" w:color="auto"/>
              <w:right w:val="single" w:sz="4" w:space="0" w:color="auto"/>
            </w:tcBorders>
          </w:tcPr>
          <w:p w14:paraId="13300C2A" w14:textId="77777777" w:rsidR="001D3001" w:rsidRPr="008861A7" w:rsidRDefault="001D3001" w:rsidP="001D3001">
            <w:pPr>
              <w:spacing w:after="0"/>
              <w:rPr>
                <w:bCs/>
                <w:noProof/>
              </w:rPr>
            </w:pPr>
            <w:r w:rsidRPr="008861A7">
              <w:rPr>
                <w:bCs/>
                <w:noProof/>
              </w:rPr>
              <w:t>Measuring the extent to which political and civil society organisations can operate freely including a quantitative indicator explained in the explanation column</w:t>
            </w:r>
          </w:p>
        </w:tc>
      </w:tr>
      <w:tr w:rsidR="001D3001" w:rsidRPr="008861A7" w14:paraId="6B47B2A3" w14:textId="77777777" w:rsidTr="00010690">
        <w:tc>
          <w:tcPr>
            <w:tcW w:w="1811" w:type="dxa"/>
            <w:tcBorders>
              <w:left w:val="single" w:sz="4" w:space="0" w:color="auto"/>
              <w:right w:val="single" w:sz="4" w:space="0" w:color="auto"/>
            </w:tcBorders>
          </w:tcPr>
          <w:p w14:paraId="43DC677D" w14:textId="77777777" w:rsidR="001D3001" w:rsidRPr="008861A7" w:rsidRDefault="001D3001" w:rsidP="00477C34">
            <w:pPr>
              <w:spacing w:after="0"/>
              <w:rPr>
                <w:noProof/>
              </w:rPr>
            </w:pPr>
            <w:r w:rsidRPr="008861A7">
              <w:rPr>
                <w:noProof/>
              </w:rPr>
              <w:t>Human rights</w:t>
            </w:r>
          </w:p>
          <w:p w14:paraId="797B0E42"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00DEF0BE" w14:textId="77777777" w:rsidR="001D3001" w:rsidRPr="008861A7" w:rsidRDefault="001D3001" w:rsidP="006F731C">
            <w:pPr>
              <w:pStyle w:val="ListParagraph"/>
              <w:numPr>
                <w:ilvl w:val="0"/>
                <w:numId w:val="3"/>
              </w:numPr>
              <w:spacing w:after="0"/>
              <w:contextualSpacing/>
              <w:rPr>
                <w:rFonts w:ascii="Times New Roman" w:hAnsi="Times New Roman"/>
                <w:bCs/>
                <w:noProof/>
              </w:rPr>
            </w:pPr>
            <w:r w:rsidRPr="008861A7">
              <w:rPr>
                <w:rFonts w:ascii="Times New Roman" w:hAnsi="Times New Roman"/>
                <w:bCs/>
                <w:noProof/>
              </w:rPr>
              <w:t>Average human rights performance</w:t>
            </w:r>
          </w:p>
        </w:tc>
        <w:tc>
          <w:tcPr>
            <w:tcW w:w="2665" w:type="dxa"/>
            <w:tcBorders>
              <w:top w:val="single" w:sz="4" w:space="0" w:color="auto"/>
              <w:left w:val="single" w:sz="4" w:space="0" w:color="auto"/>
              <w:bottom w:val="single" w:sz="4" w:space="0" w:color="auto"/>
              <w:right w:val="single" w:sz="4" w:space="0" w:color="auto"/>
            </w:tcBorders>
          </w:tcPr>
          <w:p w14:paraId="03C658C2" w14:textId="77777777" w:rsidR="001D3001" w:rsidRPr="008861A7" w:rsidRDefault="001D3001" w:rsidP="001D3001">
            <w:pPr>
              <w:spacing w:after="0"/>
              <w:rPr>
                <w:noProof/>
              </w:rPr>
            </w:pPr>
            <w:r w:rsidRPr="008861A7">
              <w:rPr>
                <w:noProof/>
              </w:rPr>
              <w:t>Measure of the average human right performance of investee countries using a quantitative indicator explained in the explanation column</w:t>
            </w:r>
          </w:p>
        </w:tc>
      </w:tr>
      <w:tr w:rsidR="001D3001" w:rsidRPr="008861A7" w14:paraId="25BE4347" w14:textId="77777777" w:rsidTr="00010690">
        <w:tc>
          <w:tcPr>
            <w:tcW w:w="1811" w:type="dxa"/>
            <w:tcBorders>
              <w:left w:val="single" w:sz="4" w:space="0" w:color="auto"/>
              <w:right w:val="single" w:sz="4" w:space="0" w:color="auto"/>
            </w:tcBorders>
          </w:tcPr>
          <w:p w14:paraId="389D0A57" w14:textId="77777777" w:rsidR="001D3001" w:rsidRPr="008861A7" w:rsidRDefault="001D3001" w:rsidP="00477C34">
            <w:pPr>
              <w:spacing w:after="0"/>
              <w:rPr>
                <w:bCs/>
                <w:noProof/>
              </w:rPr>
            </w:pPr>
            <w:r w:rsidRPr="008861A7">
              <w:rPr>
                <w:noProof/>
              </w:rPr>
              <w:t>Governance</w:t>
            </w:r>
          </w:p>
        </w:tc>
        <w:tc>
          <w:tcPr>
            <w:tcW w:w="9472" w:type="dxa"/>
            <w:tcBorders>
              <w:top w:val="single" w:sz="4" w:space="0" w:color="auto"/>
              <w:left w:val="single" w:sz="4" w:space="0" w:color="auto"/>
              <w:bottom w:val="single" w:sz="4" w:space="0" w:color="auto"/>
              <w:right w:val="single" w:sz="4" w:space="0" w:color="auto"/>
            </w:tcBorders>
          </w:tcPr>
          <w:p w14:paraId="7BA26E37" w14:textId="77777777" w:rsidR="001D3001" w:rsidRPr="008861A7" w:rsidRDefault="001D3001" w:rsidP="006F731C">
            <w:pPr>
              <w:numPr>
                <w:ilvl w:val="0"/>
                <w:numId w:val="3"/>
              </w:numPr>
              <w:spacing w:before="0" w:after="0"/>
              <w:rPr>
                <w:bCs/>
                <w:noProof/>
              </w:rPr>
            </w:pPr>
            <w:r w:rsidRPr="008861A7">
              <w:rPr>
                <w:bCs/>
                <w:noProof/>
              </w:rPr>
              <w:t>Average corruption score</w:t>
            </w:r>
          </w:p>
        </w:tc>
        <w:tc>
          <w:tcPr>
            <w:tcW w:w="2665" w:type="dxa"/>
            <w:tcBorders>
              <w:top w:val="single" w:sz="4" w:space="0" w:color="auto"/>
              <w:left w:val="single" w:sz="4" w:space="0" w:color="auto"/>
              <w:bottom w:val="single" w:sz="4" w:space="0" w:color="auto"/>
              <w:right w:val="single" w:sz="4" w:space="0" w:color="auto"/>
            </w:tcBorders>
          </w:tcPr>
          <w:p w14:paraId="216B202E" w14:textId="77777777" w:rsidR="001D3001" w:rsidRPr="008861A7" w:rsidRDefault="001D3001" w:rsidP="001D3001">
            <w:pPr>
              <w:spacing w:after="0"/>
              <w:rPr>
                <w:noProof/>
              </w:rPr>
            </w:pPr>
            <w:r w:rsidRPr="008861A7">
              <w:rPr>
                <w:bCs/>
                <w:noProof/>
              </w:rPr>
              <w:t>Measure of the perceived level of public sector corruption</w:t>
            </w:r>
            <w:r w:rsidRPr="008861A7">
              <w:rPr>
                <w:noProof/>
              </w:rPr>
              <w:t xml:space="preserve"> using a quantitative indicator explained in the explanation column</w:t>
            </w:r>
          </w:p>
        </w:tc>
      </w:tr>
      <w:tr w:rsidR="001D3001" w:rsidRPr="008861A7" w14:paraId="6C38007F" w14:textId="77777777" w:rsidTr="00010690">
        <w:tc>
          <w:tcPr>
            <w:tcW w:w="1811" w:type="dxa"/>
            <w:tcBorders>
              <w:left w:val="single" w:sz="4" w:space="0" w:color="auto"/>
              <w:right w:val="single" w:sz="4" w:space="0" w:color="auto"/>
            </w:tcBorders>
          </w:tcPr>
          <w:p w14:paraId="0F27C7F9" w14:textId="77777777" w:rsidR="001D3001" w:rsidRPr="008861A7" w:rsidRDefault="001D3001" w:rsidP="00477C34">
            <w:pPr>
              <w:spacing w:after="0"/>
              <w:jc w:val="center"/>
              <w:rPr>
                <w:noProof/>
              </w:rPr>
            </w:pPr>
          </w:p>
        </w:tc>
        <w:tc>
          <w:tcPr>
            <w:tcW w:w="9472" w:type="dxa"/>
            <w:tcBorders>
              <w:top w:val="single" w:sz="4" w:space="0" w:color="auto"/>
              <w:left w:val="single" w:sz="4" w:space="0" w:color="auto"/>
              <w:bottom w:val="single" w:sz="4" w:space="0" w:color="auto"/>
              <w:right w:val="single" w:sz="4" w:space="0" w:color="auto"/>
            </w:tcBorders>
          </w:tcPr>
          <w:p w14:paraId="042F5262" w14:textId="77777777" w:rsidR="001D3001" w:rsidRPr="008861A7" w:rsidRDefault="001D3001" w:rsidP="006F731C">
            <w:pPr>
              <w:numPr>
                <w:ilvl w:val="0"/>
                <w:numId w:val="3"/>
              </w:numPr>
              <w:spacing w:before="0" w:after="0"/>
              <w:rPr>
                <w:bCs/>
                <w:noProof/>
              </w:rPr>
            </w:pPr>
            <w:r w:rsidRPr="008861A7">
              <w:rPr>
                <w:bCs/>
                <w:noProof/>
              </w:rPr>
              <w:t>Non-cooperative tax jurisdictions</w:t>
            </w:r>
          </w:p>
        </w:tc>
        <w:tc>
          <w:tcPr>
            <w:tcW w:w="2665" w:type="dxa"/>
            <w:tcBorders>
              <w:top w:val="single" w:sz="4" w:space="0" w:color="auto"/>
              <w:left w:val="single" w:sz="4" w:space="0" w:color="auto"/>
              <w:bottom w:val="single" w:sz="4" w:space="0" w:color="auto"/>
              <w:right w:val="single" w:sz="4" w:space="0" w:color="auto"/>
            </w:tcBorders>
          </w:tcPr>
          <w:p w14:paraId="2678328D" w14:textId="77777777" w:rsidR="001D3001" w:rsidRPr="008861A7" w:rsidRDefault="001D3001" w:rsidP="001D3001">
            <w:pPr>
              <w:spacing w:after="0"/>
              <w:rPr>
                <w:bCs/>
                <w:noProof/>
              </w:rPr>
            </w:pPr>
            <w:r w:rsidRPr="008861A7">
              <w:rPr>
                <w:bCs/>
                <w:noProof/>
              </w:rPr>
              <w:t>Investments in jurisdictions on the EU list of non-cooperative jurisdictions for tax purposes</w:t>
            </w:r>
          </w:p>
        </w:tc>
      </w:tr>
      <w:tr w:rsidR="001D3001" w:rsidRPr="008861A7" w14:paraId="75064879" w14:textId="77777777" w:rsidTr="00010690">
        <w:tc>
          <w:tcPr>
            <w:tcW w:w="1811" w:type="dxa"/>
            <w:tcBorders>
              <w:left w:val="single" w:sz="4" w:space="0" w:color="auto"/>
              <w:right w:val="single" w:sz="4" w:space="0" w:color="auto"/>
            </w:tcBorders>
          </w:tcPr>
          <w:p w14:paraId="3B77E799"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01FC9BF2" w14:textId="77777777" w:rsidR="001D3001" w:rsidRPr="008861A7" w:rsidRDefault="001D3001" w:rsidP="006F731C">
            <w:pPr>
              <w:numPr>
                <w:ilvl w:val="0"/>
                <w:numId w:val="3"/>
              </w:numPr>
              <w:spacing w:before="0" w:after="0"/>
              <w:rPr>
                <w:bCs/>
                <w:noProof/>
              </w:rPr>
            </w:pPr>
            <w:r w:rsidRPr="008861A7">
              <w:rPr>
                <w:bCs/>
                <w:noProof/>
              </w:rPr>
              <w:t>Average political stability score</w:t>
            </w:r>
          </w:p>
        </w:tc>
        <w:tc>
          <w:tcPr>
            <w:tcW w:w="2665" w:type="dxa"/>
            <w:tcBorders>
              <w:top w:val="single" w:sz="4" w:space="0" w:color="auto"/>
              <w:left w:val="single" w:sz="4" w:space="0" w:color="auto"/>
              <w:bottom w:val="single" w:sz="4" w:space="0" w:color="auto"/>
              <w:right w:val="single" w:sz="4" w:space="0" w:color="auto"/>
            </w:tcBorders>
          </w:tcPr>
          <w:p w14:paraId="52F751B4" w14:textId="77777777" w:rsidR="001D3001" w:rsidRPr="008861A7" w:rsidRDefault="001D3001" w:rsidP="001D3001">
            <w:pPr>
              <w:spacing w:after="0"/>
              <w:rPr>
                <w:noProof/>
              </w:rPr>
            </w:pPr>
            <w:r w:rsidRPr="008861A7">
              <w:rPr>
                <w:bCs/>
                <w:noProof/>
              </w:rPr>
              <w:t>Measure of the likelihood that the current regime will be overthrown by the use of force</w:t>
            </w:r>
            <w:r w:rsidRPr="008861A7">
              <w:rPr>
                <w:noProof/>
              </w:rPr>
              <w:t xml:space="preserve"> using a quantitative indicator explained in the explanation column</w:t>
            </w:r>
          </w:p>
        </w:tc>
      </w:tr>
      <w:tr w:rsidR="001D3001" w:rsidRPr="008E6A91" w14:paraId="170D9E99" w14:textId="77777777" w:rsidTr="00010690">
        <w:tc>
          <w:tcPr>
            <w:tcW w:w="1811" w:type="dxa"/>
            <w:tcBorders>
              <w:left w:val="single" w:sz="4" w:space="0" w:color="auto"/>
              <w:right w:val="single" w:sz="4" w:space="0" w:color="auto"/>
            </w:tcBorders>
          </w:tcPr>
          <w:p w14:paraId="0D1731E3" w14:textId="77777777" w:rsidR="001D3001" w:rsidRPr="008861A7" w:rsidRDefault="001D3001" w:rsidP="00477C34">
            <w:pPr>
              <w:spacing w:after="0"/>
              <w:jc w:val="center"/>
              <w:rPr>
                <w:bCs/>
                <w:noProof/>
              </w:rPr>
            </w:pPr>
          </w:p>
        </w:tc>
        <w:tc>
          <w:tcPr>
            <w:tcW w:w="9472" w:type="dxa"/>
            <w:tcBorders>
              <w:top w:val="single" w:sz="4" w:space="0" w:color="auto"/>
              <w:left w:val="single" w:sz="4" w:space="0" w:color="auto"/>
              <w:bottom w:val="single" w:sz="4" w:space="0" w:color="auto"/>
              <w:right w:val="single" w:sz="4" w:space="0" w:color="auto"/>
            </w:tcBorders>
          </w:tcPr>
          <w:p w14:paraId="4DE1828B" w14:textId="77777777" w:rsidR="001D3001" w:rsidRPr="008861A7" w:rsidRDefault="001D3001" w:rsidP="006F731C">
            <w:pPr>
              <w:numPr>
                <w:ilvl w:val="0"/>
                <w:numId w:val="3"/>
              </w:numPr>
              <w:spacing w:before="0" w:after="0"/>
              <w:rPr>
                <w:bCs/>
                <w:noProof/>
              </w:rPr>
            </w:pPr>
            <w:r w:rsidRPr="008861A7">
              <w:rPr>
                <w:bCs/>
                <w:noProof/>
              </w:rPr>
              <w:t>Average rule of law score</w:t>
            </w:r>
          </w:p>
        </w:tc>
        <w:tc>
          <w:tcPr>
            <w:tcW w:w="2665" w:type="dxa"/>
            <w:tcBorders>
              <w:top w:val="single" w:sz="4" w:space="0" w:color="auto"/>
              <w:left w:val="single" w:sz="4" w:space="0" w:color="auto"/>
              <w:bottom w:val="single" w:sz="4" w:space="0" w:color="auto"/>
              <w:right w:val="single" w:sz="4" w:space="0" w:color="auto"/>
            </w:tcBorders>
          </w:tcPr>
          <w:p w14:paraId="5F59E75C" w14:textId="77777777" w:rsidR="001D3001" w:rsidRPr="008E6A91" w:rsidRDefault="001D3001" w:rsidP="001D3001">
            <w:pPr>
              <w:spacing w:after="0"/>
              <w:rPr>
                <w:noProof/>
              </w:rPr>
            </w:pPr>
            <w:r w:rsidRPr="008861A7">
              <w:rPr>
                <w:noProof/>
              </w:rPr>
              <w:t xml:space="preserve">Measure of the </w:t>
            </w:r>
            <w:r w:rsidRPr="008861A7">
              <w:rPr>
                <w:bCs/>
                <w:noProof/>
              </w:rPr>
              <w:t xml:space="preserve">level of corruption, lack of fundamental rights, and the deficiencies in civil and criminal justice </w:t>
            </w:r>
            <w:r w:rsidRPr="008861A7">
              <w:rPr>
                <w:noProof/>
              </w:rPr>
              <w:t>using a quantitative indicator explained in the explanation column</w:t>
            </w:r>
          </w:p>
        </w:tc>
      </w:tr>
      <w:bookmarkEnd w:id="18"/>
    </w:tbl>
    <w:p w14:paraId="008A15D3" w14:textId="77777777" w:rsidR="001D3001" w:rsidRPr="008E6A91" w:rsidRDefault="001D3001" w:rsidP="002E06F6">
      <w:pPr>
        <w:rPr>
          <w:rFonts w:eastAsia="Calibri"/>
          <w:noProof/>
        </w:rPr>
      </w:pPr>
    </w:p>
    <w:sectPr w:rsidR="001D3001" w:rsidRPr="008E6A91" w:rsidSect="00E32439">
      <w:headerReference w:type="default" r:id="rId10"/>
      <w:footerReference w:type="default" r:id="rId11"/>
      <w:headerReference w:type="first" r:id="rId12"/>
      <w:footerReference w:type="first" r:id="rId13"/>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E64D" w14:textId="77777777" w:rsidR="001548DE" w:rsidRDefault="001548DE" w:rsidP="00E07FCF">
      <w:pPr>
        <w:spacing w:before="0" w:after="0"/>
      </w:pPr>
      <w:r>
        <w:separator/>
      </w:r>
    </w:p>
  </w:endnote>
  <w:endnote w:type="continuationSeparator" w:id="0">
    <w:p w14:paraId="42D0A734" w14:textId="77777777" w:rsidR="001548DE" w:rsidRDefault="001548DE" w:rsidP="00E07F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6427" w14:textId="272543A7" w:rsidR="00012181" w:rsidRPr="00E32439" w:rsidRDefault="00E32439" w:rsidP="00E32439">
    <w:pPr>
      <w:pStyle w:val="Footer"/>
      <w:rPr>
        <w:rFonts w:ascii="Arial" w:hAnsi="Arial" w:cs="Arial"/>
        <w:b/>
        <w:sz w:val="48"/>
      </w:rPr>
    </w:pPr>
    <w:r w:rsidRPr="00E32439">
      <w:rPr>
        <w:rFonts w:ascii="Arial" w:hAnsi="Arial" w:cs="Arial"/>
        <w:b/>
        <w:sz w:val="48"/>
      </w:rPr>
      <w:t>EN</w:t>
    </w:r>
    <w:r w:rsidRPr="00E32439">
      <w:rPr>
        <w:rFonts w:ascii="Arial" w:hAnsi="Arial" w:cs="Arial"/>
        <w:b/>
        <w:sz w:val="48"/>
      </w:rPr>
      <w:tab/>
    </w:r>
    <w:r w:rsidRPr="00E32439">
      <w:rPr>
        <w:rFonts w:ascii="Arial" w:hAnsi="Arial" w:cs="Arial"/>
        <w:b/>
        <w:sz w:val="48"/>
      </w:rPr>
      <w:tab/>
    </w:r>
    <w:r w:rsidRPr="00E32439">
      <w:tab/>
    </w:r>
    <w:r w:rsidRPr="00E3243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15DF" w14:textId="12202DDC" w:rsidR="00E32439" w:rsidRPr="00E32439" w:rsidRDefault="00E32439" w:rsidP="00E32439">
    <w:pPr>
      <w:pStyle w:val="FooterLandscape"/>
      <w:rPr>
        <w:rFonts w:ascii="Arial" w:hAnsi="Arial" w:cs="Arial"/>
        <w:b/>
        <w:sz w:val="48"/>
      </w:rPr>
    </w:pPr>
    <w:r w:rsidRPr="00E32439">
      <w:rPr>
        <w:rFonts w:ascii="Arial" w:hAnsi="Arial" w:cs="Arial"/>
        <w:b/>
        <w:sz w:val="48"/>
      </w:rPr>
      <w:t>EN</w:t>
    </w:r>
    <w:r w:rsidRPr="00E32439">
      <w:rPr>
        <w:rFonts w:ascii="Arial" w:hAnsi="Arial" w:cs="Arial"/>
        <w:b/>
        <w:sz w:val="48"/>
      </w:rPr>
      <w:tab/>
    </w:r>
    <w:r>
      <w:fldChar w:fldCharType="begin"/>
    </w:r>
    <w:r>
      <w:instrText xml:space="preserve"> PAGE  \* MERGEFORMAT </w:instrText>
    </w:r>
    <w:r>
      <w:fldChar w:fldCharType="separate"/>
    </w:r>
    <w:r w:rsidR="00C319F4">
      <w:rPr>
        <w:noProof/>
      </w:rPr>
      <w:t>1</w:t>
    </w:r>
    <w:r>
      <w:fldChar w:fldCharType="end"/>
    </w:r>
    <w:r>
      <w:tab/>
    </w:r>
    <w:r w:rsidRPr="00E32439">
      <w:tab/>
    </w:r>
    <w:r w:rsidRPr="00E3243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24534" w14:textId="77777777" w:rsidR="00E32439" w:rsidRPr="00E32439" w:rsidRDefault="00E32439" w:rsidP="00E32439">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2FDCB" w14:textId="77777777" w:rsidR="001548DE" w:rsidRDefault="001548DE" w:rsidP="00E07FCF">
      <w:pPr>
        <w:spacing w:before="0" w:after="0"/>
      </w:pPr>
      <w:r>
        <w:separator/>
      </w:r>
    </w:p>
  </w:footnote>
  <w:footnote w:type="continuationSeparator" w:id="0">
    <w:p w14:paraId="6A3B9FA6" w14:textId="77777777" w:rsidR="001548DE" w:rsidRDefault="001548DE" w:rsidP="00E07FCF">
      <w:pPr>
        <w:spacing w:before="0" w:after="0"/>
      </w:pPr>
      <w:r>
        <w:continuationSeparator/>
      </w:r>
    </w:p>
  </w:footnote>
  <w:footnote w:id="1">
    <w:p w14:paraId="67E1C6FA" w14:textId="3869346D" w:rsidR="00EC37F9" w:rsidRPr="00E128FB" w:rsidRDefault="00EC37F9" w:rsidP="004113D8">
      <w:pPr>
        <w:pStyle w:val="FootnoteText"/>
      </w:pPr>
      <w:r w:rsidRPr="003214F4">
        <w:rPr>
          <w:rStyle w:val="FootnoteReference"/>
        </w:rPr>
        <w:footnoteRef/>
      </w:r>
      <w:r>
        <w:tab/>
      </w:r>
      <w:r w:rsidRPr="00E128FB">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t>
      </w:r>
    </w:p>
  </w:footnote>
  <w:footnote w:id="2">
    <w:p w14:paraId="5B9B4C5F" w14:textId="77777777" w:rsidR="00EC37F9" w:rsidRPr="00237C9D" w:rsidRDefault="00EC37F9">
      <w:pPr>
        <w:pStyle w:val="FootnoteText"/>
      </w:pPr>
      <w:r>
        <w:rPr>
          <w:rStyle w:val="FootnoteReference"/>
        </w:rPr>
        <w:footnoteRef/>
      </w:r>
      <w:r w:rsidRPr="00237C9D">
        <w:tab/>
        <w:t xml:space="preserve">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(OJ L 156, 19.6.2018, p. 26).  </w:t>
      </w:r>
    </w:p>
  </w:footnote>
  <w:footnote w:id="3">
    <w:p w14:paraId="17D0C613" w14:textId="091506F9" w:rsidR="00EC37F9" w:rsidRPr="005B053F" w:rsidRDefault="00EC37F9" w:rsidP="005B053F">
      <w:pPr>
        <w:pStyle w:val="FootnoteText"/>
      </w:pPr>
      <w:r>
        <w:rPr>
          <w:rStyle w:val="FootnoteReference"/>
        </w:rPr>
        <w:footnoteRef/>
      </w:r>
      <w:r w:rsidRPr="00023432">
        <w:tab/>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w:t>
      </w:r>
      <w:r w:rsidRPr="005B053F">
        <w:t>OJ L 328, 21.12.2018, p. 1).</w:t>
      </w:r>
    </w:p>
  </w:footnote>
  <w:footnote w:id="4">
    <w:p w14:paraId="1EE26A33" w14:textId="79D1DA6F" w:rsidR="00EC37F9" w:rsidRPr="00F87B58" w:rsidRDefault="00EC37F9">
      <w:pPr>
        <w:pStyle w:val="FootnoteText"/>
      </w:pPr>
      <w:r w:rsidRPr="003214F4">
        <w:rPr>
          <w:rStyle w:val="FootnoteReference"/>
        </w:rPr>
        <w:footnoteRef/>
      </w:r>
      <w:r>
        <w:tab/>
      </w:r>
      <w:r w:rsidRPr="00F87B58">
        <w:t>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Text with EEA relevance (</w:t>
      </w:r>
      <w:r w:rsidRPr="00F87B58">
        <w:rPr>
          <w:iCs/>
        </w:rPr>
        <w:t>OJ L 393, 30.12.2006, p. 1–39).</w:t>
      </w:r>
    </w:p>
  </w:footnote>
  <w:footnote w:id="5">
    <w:p w14:paraId="6F10E756" w14:textId="77777777" w:rsidR="00EC37F9" w:rsidRPr="00237C9D" w:rsidRDefault="00EC37F9">
      <w:pPr>
        <w:pStyle w:val="FootnoteText"/>
      </w:pPr>
      <w:r>
        <w:rPr>
          <w:rStyle w:val="FootnoteReference"/>
        </w:rPr>
        <w:footnoteRef/>
      </w:r>
      <w:r w:rsidRPr="00237C9D">
        <w:tab/>
        <w:t>Directive 98/70/EC of the European Parliament and of the Council of 13 October 1998 relating to the quality of petrol and diesel fuels and amending Council Directive 93/12/EEC (OJ L 350, 28.12.1998, p. 58).</w:t>
      </w:r>
    </w:p>
  </w:footnote>
  <w:footnote w:id="6">
    <w:p w14:paraId="7687D303" w14:textId="77777777" w:rsidR="00EC37F9" w:rsidRPr="00237C9D" w:rsidRDefault="00EC37F9">
      <w:pPr>
        <w:pStyle w:val="FootnoteText"/>
      </w:pPr>
      <w:r>
        <w:rPr>
          <w:rStyle w:val="FootnoteReference"/>
        </w:rPr>
        <w:footnoteRef/>
      </w:r>
      <w:r w:rsidRPr="00237C9D">
        <w:tab/>
        <w:t>Directive 2000/60/EC of the European Parliament and of the Council of 23 October 2000 establishing a framework for Community action in the field of water policy (OJ L 327, 22.12.2000, p. 1).</w:t>
      </w:r>
    </w:p>
  </w:footnote>
  <w:footnote w:id="7">
    <w:p w14:paraId="431D732B" w14:textId="77777777" w:rsidR="00EC37F9" w:rsidRPr="00237C9D" w:rsidRDefault="00EC37F9">
      <w:pPr>
        <w:pStyle w:val="FootnoteText"/>
      </w:pPr>
      <w:r>
        <w:rPr>
          <w:rStyle w:val="FootnoteReference"/>
        </w:rPr>
        <w:footnoteRef/>
      </w:r>
      <w:r w:rsidRPr="00237C9D">
        <w:tab/>
        <w:t>Directive 2008/98/EC of the European Parliament and of the Council of 19 November 2008 on waste and repealing certain Directives (OJ L 312, 22.11.2008, p. 3).</w:t>
      </w:r>
    </w:p>
  </w:footnote>
  <w:footnote w:id="8">
    <w:p w14:paraId="5BD80E0A" w14:textId="77777777" w:rsidR="00EC37F9" w:rsidRPr="00237C9D" w:rsidRDefault="00EC37F9" w:rsidP="00E128FB">
      <w:pPr>
        <w:pStyle w:val="FootnoteText"/>
      </w:pPr>
      <w:r>
        <w:rPr>
          <w:rStyle w:val="FootnoteReference"/>
        </w:rPr>
        <w:footnoteRef/>
      </w:r>
      <w:r w:rsidRPr="00237C9D">
        <w:tab/>
      </w:r>
      <w:r>
        <w:t>Council Directive 2011/70/Euratom of 19 July 2011 establishing a Community framework for the responsible and safe management of spent fuel and radioactive waste (OJ L 199, 2.8.2011, p. 48</w:t>
      </w:r>
      <w:r w:rsidRPr="00237C9D">
        <w:t>).</w:t>
      </w:r>
    </w:p>
  </w:footnote>
  <w:footnote w:id="9">
    <w:p w14:paraId="0A9F722C" w14:textId="77777777" w:rsidR="00EC37F9" w:rsidRPr="00237C9D" w:rsidRDefault="00EC37F9">
      <w:pPr>
        <w:pStyle w:val="FootnoteText"/>
      </w:pPr>
      <w:r>
        <w:rPr>
          <w:rStyle w:val="FootnoteReference"/>
        </w:rPr>
        <w:footnoteRef/>
      </w:r>
      <w:r w:rsidRPr="00237C9D">
        <w:tab/>
        <w:t>Directive 2009/147/EC of the European Parliament and of the Council of 30 November 2009 on the conservation of wild birds (OJ L 20, 26.1.2010, p. 7).</w:t>
      </w:r>
    </w:p>
  </w:footnote>
  <w:footnote w:id="10">
    <w:p w14:paraId="21EBC1FA" w14:textId="77777777" w:rsidR="00EC37F9" w:rsidRPr="00237C9D" w:rsidRDefault="00EC37F9">
      <w:pPr>
        <w:pStyle w:val="FootnoteText"/>
      </w:pPr>
      <w:r>
        <w:rPr>
          <w:rStyle w:val="FootnoteReference"/>
        </w:rPr>
        <w:footnoteRef/>
      </w:r>
      <w:r w:rsidRPr="00237C9D">
        <w:tab/>
        <w:t>Council Directive 92/43/EEC of 21 May 1992 on the conservation of natural habitats and of wild fauna and flora (OJ L 206, 22.7.1992, p. 7).</w:t>
      </w:r>
    </w:p>
  </w:footnote>
  <w:footnote w:id="11">
    <w:p w14:paraId="6C7D4BF0" w14:textId="77777777" w:rsidR="00EC37F9" w:rsidRPr="00237C9D" w:rsidRDefault="00EC37F9">
      <w:pPr>
        <w:pStyle w:val="FootnoteText"/>
      </w:pPr>
      <w:r>
        <w:rPr>
          <w:rStyle w:val="FootnoteReference"/>
        </w:rPr>
        <w:footnoteRef/>
      </w:r>
      <w:r w:rsidRPr="00237C9D">
        <w:tab/>
        <w:t>Directive 2011/92/EU of the European Parliament and of the Council of 13 December 2011 on the assessment of the effects of certain public and private projects on the environment (OJ L 026, 28.1.2012, p. 1).</w:t>
      </w:r>
    </w:p>
  </w:footnote>
  <w:footnote w:id="12">
    <w:p w14:paraId="1DD73844" w14:textId="1434722E" w:rsidR="00EC37F9" w:rsidRPr="00F95D41" w:rsidRDefault="00EC37F9">
      <w:pPr>
        <w:pStyle w:val="FootnoteText"/>
      </w:pPr>
      <w:r>
        <w:rPr>
          <w:rStyle w:val="FootnoteReference"/>
        </w:rPr>
        <w:footnoteRef/>
      </w:r>
      <w:r w:rsidRPr="00F95D41">
        <w:tab/>
      </w:r>
      <w:r w:rsidRPr="008E6A91">
        <w:rPr>
          <w:rFonts w:eastAsia="Calibri"/>
          <w:bCs/>
        </w:rPr>
        <w:t xml:space="preserve">Commission </w:t>
      </w:r>
      <w:r w:rsidRPr="002047F4">
        <w:rPr>
          <w:rFonts w:eastAsia="Calibri"/>
          <w:bCs/>
        </w:rPr>
        <w:t>Delegated Regulation (EU) 2021/2139 of 4 June 2021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w:t>
      </w:r>
      <w:r w:rsidRPr="002047F4">
        <w:t xml:space="preserve"> (OJ L 442, 9.12.2021, p. 1).</w:t>
      </w:r>
    </w:p>
  </w:footnote>
  <w:footnote w:id="13">
    <w:p w14:paraId="64BF409F" w14:textId="77777777" w:rsidR="00EC37F9" w:rsidRPr="00EF5B11" w:rsidRDefault="00EC37F9">
      <w:pPr>
        <w:pStyle w:val="FootnoteText"/>
      </w:pPr>
      <w:r>
        <w:rPr>
          <w:rStyle w:val="FootnoteReference"/>
        </w:rPr>
        <w:footnoteRef/>
      </w:r>
      <w:r w:rsidRPr="00EF5B11">
        <w:tab/>
        <w:t>Directive (EU) 2019/1937 of the European Parliament and of the Council of 23 October 2019 on the protection of persons who report breaches of Union law (OJ L305, 26.11.2019, p. 17).</w:t>
      </w:r>
    </w:p>
  </w:footnote>
  <w:footnote w:id="14">
    <w:p w14:paraId="181EFAA4" w14:textId="26CF29B1" w:rsidR="00EC37F9" w:rsidRPr="00E72E90" w:rsidRDefault="00EC37F9" w:rsidP="000D3C1F">
      <w:pPr>
        <w:pStyle w:val="FootnoteText"/>
      </w:pPr>
      <w:r w:rsidRPr="003214F4">
        <w:rPr>
          <w:rStyle w:val="FootnoteReference"/>
        </w:rPr>
        <w:footnoteRef/>
      </w:r>
      <w:r>
        <w:tab/>
        <w:t>Directive 2010/75/EU of the European Parliament and of the Council of 24 November 2010 on industrial emissions (integrated pollution prevention and control) (OJ L 334, 17.12.2010, p. 17).</w:t>
      </w:r>
    </w:p>
  </w:footnote>
  <w:footnote w:id="15">
    <w:p w14:paraId="0F42ED1D" w14:textId="77777777" w:rsidR="00EC37F9" w:rsidRDefault="00EC37F9" w:rsidP="00D43741">
      <w:pPr>
        <w:pStyle w:val="NormalWeb"/>
        <w:shd w:val="clear" w:color="auto" w:fill="FFFFFF"/>
        <w:spacing w:before="0" w:beforeAutospacing="0" w:after="0" w:afterAutospacing="0"/>
        <w:rPr>
          <w:rFonts w:eastAsiaTheme="minorHAnsi"/>
          <w:sz w:val="20"/>
          <w:szCs w:val="20"/>
          <w:lang w:val="en-GB"/>
        </w:rPr>
      </w:pPr>
      <w:r w:rsidRPr="00F00647">
        <w:rPr>
          <w:rStyle w:val="FootnoteReference"/>
        </w:rPr>
        <w:footnoteRef/>
      </w:r>
      <w:r>
        <w:tab/>
      </w:r>
      <w:r w:rsidRPr="00D43741">
        <w:rPr>
          <w:rFonts w:eastAsiaTheme="minorHAnsi"/>
          <w:sz w:val="20"/>
          <w:szCs w:val="20"/>
          <w:lang w:val="en-GB"/>
        </w:rPr>
        <w:t xml:space="preserve">Directive (EU) 2016/2284 of the European Parliament and of the Council of 14 December 2016 on the reduction of national emissions of certain atmospheric pollutants, </w:t>
      </w:r>
    </w:p>
    <w:p w14:paraId="7782281D" w14:textId="3ED78281" w:rsidR="00EC37F9" w:rsidRPr="00D43741" w:rsidRDefault="00EC37F9" w:rsidP="00D43741">
      <w:pPr>
        <w:pStyle w:val="NormalWeb"/>
        <w:shd w:val="clear" w:color="auto" w:fill="FFFFFF"/>
        <w:spacing w:before="0" w:beforeAutospacing="0" w:after="0" w:afterAutospacing="0"/>
        <w:rPr>
          <w:rFonts w:eastAsiaTheme="minorHAnsi"/>
          <w:sz w:val="20"/>
          <w:szCs w:val="20"/>
          <w:lang w:val="en-GB"/>
        </w:rPr>
      </w:pPr>
      <w:r>
        <w:rPr>
          <w:rFonts w:eastAsiaTheme="minorHAnsi"/>
          <w:sz w:val="20"/>
          <w:szCs w:val="20"/>
          <w:lang w:val="en-GB"/>
        </w:rPr>
        <w:t xml:space="preserve">              </w:t>
      </w:r>
      <w:r w:rsidRPr="00D43741">
        <w:rPr>
          <w:rFonts w:eastAsiaTheme="minorHAnsi"/>
          <w:sz w:val="20"/>
          <w:szCs w:val="20"/>
          <w:lang w:val="en-GB"/>
        </w:rPr>
        <w:t>amending Directive 2003/35/EC and repealing Directive 2001/81/EC (Text with EEA relevance )</w:t>
      </w:r>
      <w:r>
        <w:rPr>
          <w:rFonts w:eastAsiaTheme="minorHAnsi"/>
          <w:sz w:val="20"/>
          <w:szCs w:val="20"/>
          <w:lang w:val="en-GB"/>
        </w:rPr>
        <w:t xml:space="preserve">, </w:t>
      </w:r>
      <w:r w:rsidRPr="00D43741">
        <w:rPr>
          <w:rFonts w:eastAsiaTheme="minorHAnsi"/>
          <w:i/>
          <w:iCs/>
          <w:sz w:val="20"/>
          <w:szCs w:val="20"/>
          <w:lang w:val="en-GB"/>
        </w:rPr>
        <w:t>OJ L 344, 17.12.2016, p. 1–31</w:t>
      </w:r>
    </w:p>
  </w:footnote>
  <w:footnote w:id="16">
    <w:p w14:paraId="7C4E475C" w14:textId="2B99DCB7" w:rsidR="00EC37F9" w:rsidRPr="00E72E90" w:rsidRDefault="00EC37F9">
      <w:pPr>
        <w:pStyle w:val="FootnoteText"/>
      </w:pPr>
      <w:r w:rsidRPr="003214F4">
        <w:rPr>
          <w:rStyle w:val="FootnoteReference"/>
        </w:rPr>
        <w:footnoteRef/>
      </w:r>
      <w:r>
        <w:tab/>
      </w:r>
      <w:r w:rsidRPr="00EF5B11">
        <w:t>Directive 2010/31/EU of the European Parliament and of the Council of 19 May 2010 on the energy performance of buildings (recast) (OJ L 153, 18.6.2010,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BCE4" w14:textId="77777777" w:rsidR="00E32439" w:rsidRPr="00E32439" w:rsidRDefault="00E32439" w:rsidP="00E3243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B6CB" w14:textId="77777777" w:rsidR="00E32439" w:rsidRPr="00E32439" w:rsidRDefault="00E32439" w:rsidP="00E32439">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83617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13A1CC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4841E1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0EE0C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2203DA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7AA1CF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2DA1FC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3126EB6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3660B93"/>
    <w:multiLevelType w:val="hybridMultilevel"/>
    <w:tmpl w:val="EFB45C40"/>
    <w:lvl w:ilvl="0" w:tplc="91DAE77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9F81F83"/>
    <w:multiLevelType w:val="hybridMultilevel"/>
    <w:tmpl w:val="972633C6"/>
    <w:lvl w:ilvl="0" w:tplc="AFCC99D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CB10A63"/>
    <w:multiLevelType w:val="hybridMultilevel"/>
    <w:tmpl w:val="EFB45C40"/>
    <w:lvl w:ilvl="0" w:tplc="91DAE77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24"/>
  </w:num>
  <w:num w:numId="19">
    <w:abstractNumId w:val="12"/>
  </w:num>
  <w:num w:numId="20">
    <w:abstractNumId w:val="16"/>
  </w:num>
  <w:num w:numId="21">
    <w:abstractNumId w:val="17"/>
  </w:num>
  <w:num w:numId="22">
    <w:abstractNumId w:val="10"/>
  </w:num>
  <w:num w:numId="23">
    <w:abstractNumId w:val="23"/>
  </w:num>
  <w:num w:numId="24">
    <w:abstractNumId w:val="9"/>
  </w:num>
  <w:num w:numId="25">
    <w:abstractNumId w:val="18"/>
  </w:num>
  <w:num w:numId="26">
    <w:abstractNumId w:val="20"/>
  </w:num>
  <w:num w:numId="27">
    <w:abstractNumId w:val="21"/>
  </w:num>
  <w:num w:numId="28">
    <w:abstractNumId w:val="11"/>
  </w:num>
  <w:num w:numId="29">
    <w:abstractNumId w:val="19"/>
  </w:num>
  <w:num w:numId="30">
    <w:abstractNumId w:val="26"/>
  </w:num>
  <w:num w:numId="31">
    <w:abstractNumId w:val="22"/>
  </w:num>
  <w:num w:numId="32">
    <w:abstractNumId w:val="15"/>
  </w:num>
  <w:num w:numId="33">
    <w:abstractNumId w:val="24"/>
  </w:num>
  <w:num w:numId="34">
    <w:abstractNumId w:val="12"/>
  </w:num>
  <w:num w:numId="35">
    <w:abstractNumId w:val="16"/>
  </w:num>
  <w:num w:numId="36">
    <w:abstractNumId w:val="17"/>
  </w:num>
  <w:num w:numId="37">
    <w:abstractNumId w:val="10"/>
  </w:num>
  <w:num w:numId="38">
    <w:abstractNumId w:val="23"/>
  </w:num>
  <w:num w:numId="39">
    <w:abstractNumId w:val="9"/>
  </w:num>
  <w:num w:numId="40">
    <w:abstractNumId w:val="18"/>
  </w:num>
  <w:num w:numId="41">
    <w:abstractNumId w:val="20"/>
  </w:num>
  <w:num w:numId="42">
    <w:abstractNumId w:val="21"/>
  </w:num>
  <w:num w:numId="43">
    <w:abstractNumId w:val="11"/>
  </w:num>
  <w:num w:numId="44">
    <w:abstractNumId w:val="19"/>
  </w:num>
  <w:num w:numId="4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2-04-04 11:11:38"/>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ACCOMPAGNANT" w:val="to the "/>
    <w:docVar w:name="LW_ACCOMPAGNANT.CP" w:val="to the "/>
    <w:docVar w:name="LW_ANNEX_NBR_FIRST" w:val="1"/>
    <w:docVar w:name="LW_ANNEX_NBR_LAST" w:val="1"/>
    <w:docVar w:name="LW_ANNEX_UNIQUE" w:val="0"/>
    <w:docVar w:name="LW_CORRIGENDUM" w:val="&lt;UNUSED&gt;"/>
    <w:docVar w:name="LW_COVERPAGE_EXISTS" w:val="True"/>
    <w:docVar w:name="LW_COVERPAGE_GUID" w:val="E682DF20-CB6D-4231-80B9-59E2262CED28"/>
    <w:docVar w:name="LW_COVERPAGE_TYPE" w:val="1"/>
    <w:docVar w:name="LW_CROSSREFERENCE" w:val="&lt;UNUSED&gt;"/>
    <w:docVar w:name="LW_DocType" w:val="ANNEX"/>
    <w:docVar w:name="LW_EMISSION" w:val="6.4.2022"/>
    <w:docVar w:name="LW_EMISSION_ISODATE" w:val="2022-04-06"/>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supplementing Regulation (EU) 2019/2088 of the European Parliament and of the Council with regard to regulatory technical standards specifying the details of the content and presentation of the information in relation to the principle of \u8216?do no significant harm\u8217?,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b_"/>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Delegated Regulation (EU) .../..."/>
    <w:docVar w:name="LW_TYPEACTEPRINCIPAL.CP" w:val="Commission Delegated Regulation (EU) .../..."/>
    <w:docVar w:name="LwApiVersions" w:val="LW4CoDe 1.23.2.0; LW 8.0, Build 20211117"/>
  </w:docVars>
  <w:rsids>
    <w:rsidRoot w:val="00E07FCF"/>
    <w:rsid w:val="000056B6"/>
    <w:rsid w:val="00010690"/>
    <w:rsid w:val="000107E6"/>
    <w:rsid w:val="00012181"/>
    <w:rsid w:val="00023432"/>
    <w:rsid w:val="00045DE1"/>
    <w:rsid w:val="0005348F"/>
    <w:rsid w:val="000543DE"/>
    <w:rsid w:val="00061702"/>
    <w:rsid w:val="00085754"/>
    <w:rsid w:val="000A3E7A"/>
    <w:rsid w:val="000B69BC"/>
    <w:rsid w:val="000C227C"/>
    <w:rsid w:val="000C4A3B"/>
    <w:rsid w:val="000D3C1F"/>
    <w:rsid w:val="000E198E"/>
    <w:rsid w:val="000E39F8"/>
    <w:rsid w:val="000E4AE8"/>
    <w:rsid w:val="000F1A12"/>
    <w:rsid w:val="0012216F"/>
    <w:rsid w:val="00134471"/>
    <w:rsid w:val="001548DE"/>
    <w:rsid w:val="00155ABA"/>
    <w:rsid w:val="00176324"/>
    <w:rsid w:val="001764D7"/>
    <w:rsid w:val="00193220"/>
    <w:rsid w:val="001C2816"/>
    <w:rsid w:val="001C34DD"/>
    <w:rsid w:val="001C669C"/>
    <w:rsid w:val="001D3001"/>
    <w:rsid w:val="001D39A4"/>
    <w:rsid w:val="001D56F7"/>
    <w:rsid w:val="001D6F25"/>
    <w:rsid w:val="002011A5"/>
    <w:rsid w:val="002047F4"/>
    <w:rsid w:val="00211E78"/>
    <w:rsid w:val="00221A48"/>
    <w:rsid w:val="00233926"/>
    <w:rsid w:val="00233979"/>
    <w:rsid w:val="00237C9D"/>
    <w:rsid w:val="00244954"/>
    <w:rsid w:val="0026380C"/>
    <w:rsid w:val="00263965"/>
    <w:rsid w:val="00273CD4"/>
    <w:rsid w:val="00285646"/>
    <w:rsid w:val="00286D0C"/>
    <w:rsid w:val="002C2DCC"/>
    <w:rsid w:val="002D3032"/>
    <w:rsid w:val="002E06F6"/>
    <w:rsid w:val="002E460D"/>
    <w:rsid w:val="00303928"/>
    <w:rsid w:val="003214F4"/>
    <w:rsid w:val="003278B1"/>
    <w:rsid w:val="00337228"/>
    <w:rsid w:val="0034053D"/>
    <w:rsid w:val="003528ED"/>
    <w:rsid w:val="00352C75"/>
    <w:rsid w:val="00357BF9"/>
    <w:rsid w:val="003866B5"/>
    <w:rsid w:val="0038744E"/>
    <w:rsid w:val="003875D3"/>
    <w:rsid w:val="00397628"/>
    <w:rsid w:val="003A34B6"/>
    <w:rsid w:val="003B1DDB"/>
    <w:rsid w:val="003B61D7"/>
    <w:rsid w:val="003B64EE"/>
    <w:rsid w:val="003F1D3A"/>
    <w:rsid w:val="004113D8"/>
    <w:rsid w:val="00477C34"/>
    <w:rsid w:val="004936D2"/>
    <w:rsid w:val="00493AE0"/>
    <w:rsid w:val="004A1E94"/>
    <w:rsid w:val="004A37B5"/>
    <w:rsid w:val="004B04AF"/>
    <w:rsid w:val="004D1EB0"/>
    <w:rsid w:val="004D2B7B"/>
    <w:rsid w:val="004D6139"/>
    <w:rsid w:val="004E0528"/>
    <w:rsid w:val="00516E7D"/>
    <w:rsid w:val="005277D1"/>
    <w:rsid w:val="0054290F"/>
    <w:rsid w:val="005501ED"/>
    <w:rsid w:val="00562B66"/>
    <w:rsid w:val="00567679"/>
    <w:rsid w:val="00572AFA"/>
    <w:rsid w:val="0058258F"/>
    <w:rsid w:val="00582E6E"/>
    <w:rsid w:val="00586ED8"/>
    <w:rsid w:val="00595E0D"/>
    <w:rsid w:val="0059605D"/>
    <w:rsid w:val="005A04B5"/>
    <w:rsid w:val="005B053F"/>
    <w:rsid w:val="005B2759"/>
    <w:rsid w:val="005C1A49"/>
    <w:rsid w:val="005C73D5"/>
    <w:rsid w:val="005D7F3E"/>
    <w:rsid w:val="005E448B"/>
    <w:rsid w:val="005F60A3"/>
    <w:rsid w:val="00614247"/>
    <w:rsid w:val="00646A10"/>
    <w:rsid w:val="00646A4F"/>
    <w:rsid w:val="006752DE"/>
    <w:rsid w:val="00682A47"/>
    <w:rsid w:val="00690B51"/>
    <w:rsid w:val="00692F91"/>
    <w:rsid w:val="006A3420"/>
    <w:rsid w:val="006C5DB6"/>
    <w:rsid w:val="006D67F3"/>
    <w:rsid w:val="006F731C"/>
    <w:rsid w:val="007025A3"/>
    <w:rsid w:val="00725287"/>
    <w:rsid w:val="00730136"/>
    <w:rsid w:val="00731592"/>
    <w:rsid w:val="00733975"/>
    <w:rsid w:val="00745BB0"/>
    <w:rsid w:val="00761D40"/>
    <w:rsid w:val="007B59E8"/>
    <w:rsid w:val="007C133D"/>
    <w:rsid w:val="007D190A"/>
    <w:rsid w:val="007D22B5"/>
    <w:rsid w:val="007F2561"/>
    <w:rsid w:val="00810C04"/>
    <w:rsid w:val="00810EB1"/>
    <w:rsid w:val="0081206E"/>
    <w:rsid w:val="00820679"/>
    <w:rsid w:val="00825ADA"/>
    <w:rsid w:val="00827826"/>
    <w:rsid w:val="00833E6B"/>
    <w:rsid w:val="0084180F"/>
    <w:rsid w:val="00842485"/>
    <w:rsid w:val="0084443B"/>
    <w:rsid w:val="00854894"/>
    <w:rsid w:val="00875BC1"/>
    <w:rsid w:val="008824BC"/>
    <w:rsid w:val="008861A7"/>
    <w:rsid w:val="008A53C6"/>
    <w:rsid w:val="008B20BD"/>
    <w:rsid w:val="008C1110"/>
    <w:rsid w:val="008E6A91"/>
    <w:rsid w:val="008F12C5"/>
    <w:rsid w:val="0090196F"/>
    <w:rsid w:val="0090664F"/>
    <w:rsid w:val="00907335"/>
    <w:rsid w:val="00920372"/>
    <w:rsid w:val="0093127B"/>
    <w:rsid w:val="00953AE3"/>
    <w:rsid w:val="0095628F"/>
    <w:rsid w:val="00974FF8"/>
    <w:rsid w:val="00982345"/>
    <w:rsid w:val="00984AE5"/>
    <w:rsid w:val="00986B33"/>
    <w:rsid w:val="00987AD5"/>
    <w:rsid w:val="009E1075"/>
    <w:rsid w:val="009F680E"/>
    <w:rsid w:val="00A01829"/>
    <w:rsid w:val="00A145EF"/>
    <w:rsid w:val="00A23301"/>
    <w:rsid w:val="00A42734"/>
    <w:rsid w:val="00A42F11"/>
    <w:rsid w:val="00A50B93"/>
    <w:rsid w:val="00A5255D"/>
    <w:rsid w:val="00A5477D"/>
    <w:rsid w:val="00A5659D"/>
    <w:rsid w:val="00A6012D"/>
    <w:rsid w:val="00A61240"/>
    <w:rsid w:val="00A71D63"/>
    <w:rsid w:val="00AA3251"/>
    <w:rsid w:val="00AC367C"/>
    <w:rsid w:val="00AC7CC8"/>
    <w:rsid w:val="00AD1A91"/>
    <w:rsid w:val="00AD3E41"/>
    <w:rsid w:val="00AD45B4"/>
    <w:rsid w:val="00AE5C20"/>
    <w:rsid w:val="00AF35EF"/>
    <w:rsid w:val="00AF41B1"/>
    <w:rsid w:val="00AF586A"/>
    <w:rsid w:val="00B00093"/>
    <w:rsid w:val="00B229B9"/>
    <w:rsid w:val="00B26BE4"/>
    <w:rsid w:val="00B35B5B"/>
    <w:rsid w:val="00B37EE9"/>
    <w:rsid w:val="00B477A3"/>
    <w:rsid w:val="00B541BE"/>
    <w:rsid w:val="00B55028"/>
    <w:rsid w:val="00B6344C"/>
    <w:rsid w:val="00B711EC"/>
    <w:rsid w:val="00B856AB"/>
    <w:rsid w:val="00B91B53"/>
    <w:rsid w:val="00B97B36"/>
    <w:rsid w:val="00BA0086"/>
    <w:rsid w:val="00BA13B9"/>
    <w:rsid w:val="00BA225E"/>
    <w:rsid w:val="00BB0CF3"/>
    <w:rsid w:val="00BF17AA"/>
    <w:rsid w:val="00C06198"/>
    <w:rsid w:val="00C22114"/>
    <w:rsid w:val="00C22F60"/>
    <w:rsid w:val="00C23AD3"/>
    <w:rsid w:val="00C24556"/>
    <w:rsid w:val="00C26E23"/>
    <w:rsid w:val="00C27537"/>
    <w:rsid w:val="00C319F4"/>
    <w:rsid w:val="00C451EC"/>
    <w:rsid w:val="00C55635"/>
    <w:rsid w:val="00C657CE"/>
    <w:rsid w:val="00C710FE"/>
    <w:rsid w:val="00C72B03"/>
    <w:rsid w:val="00C72DAD"/>
    <w:rsid w:val="00C840F3"/>
    <w:rsid w:val="00C91095"/>
    <w:rsid w:val="00CA72FF"/>
    <w:rsid w:val="00CD3F95"/>
    <w:rsid w:val="00CF7AFF"/>
    <w:rsid w:val="00D207DA"/>
    <w:rsid w:val="00D24635"/>
    <w:rsid w:val="00D31AF2"/>
    <w:rsid w:val="00D37EBA"/>
    <w:rsid w:val="00D43741"/>
    <w:rsid w:val="00D4501B"/>
    <w:rsid w:val="00D47C3B"/>
    <w:rsid w:val="00D55441"/>
    <w:rsid w:val="00D74B72"/>
    <w:rsid w:val="00D769E5"/>
    <w:rsid w:val="00D80382"/>
    <w:rsid w:val="00D87394"/>
    <w:rsid w:val="00D911AC"/>
    <w:rsid w:val="00DA0906"/>
    <w:rsid w:val="00DA15BC"/>
    <w:rsid w:val="00DA5FBC"/>
    <w:rsid w:val="00DC35CE"/>
    <w:rsid w:val="00DC7A0D"/>
    <w:rsid w:val="00DD65C3"/>
    <w:rsid w:val="00DE04BE"/>
    <w:rsid w:val="00DE588A"/>
    <w:rsid w:val="00DE6BFE"/>
    <w:rsid w:val="00DF15BC"/>
    <w:rsid w:val="00DF479A"/>
    <w:rsid w:val="00DF74A0"/>
    <w:rsid w:val="00E00A81"/>
    <w:rsid w:val="00E07FCF"/>
    <w:rsid w:val="00E128FB"/>
    <w:rsid w:val="00E13FD1"/>
    <w:rsid w:val="00E21A49"/>
    <w:rsid w:val="00E21ED5"/>
    <w:rsid w:val="00E3060B"/>
    <w:rsid w:val="00E31C65"/>
    <w:rsid w:val="00E32439"/>
    <w:rsid w:val="00E52D38"/>
    <w:rsid w:val="00E72E90"/>
    <w:rsid w:val="00E871BC"/>
    <w:rsid w:val="00E90359"/>
    <w:rsid w:val="00E92B04"/>
    <w:rsid w:val="00E94C87"/>
    <w:rsid w:val="00EA3A89"/>
    <w:rsid w:val="00EC1ACF"/>
    <w:rsid w:val="00EC2022"/>
    <w:rsid w:val="00EC37F9"/>
    <w:rsid w:val="00ED2405"/>
    <w:rsid w:val="00EE358C"/>
    <w:rsid w:val="00EE362D"/>
    <w:rsid w:val="00EF3FF8"/>
    <w:rsid w:val="00EF590D"/>
    <w:rsid w:val="00EF5B11"/>
    <w:rsid w:val="00EF788C"/>
    <w:rsid w:val="00F00647"/>
    <w:rsid w:val="00F17C5E"/>
    <w:rsid w:val="00F43B8E"/>
    <w:rsid w:val="00F468D4"/>
    <w:rsid w:val="00F633C8"/>
    <w:rsid w:val="00F87B58"/>
    <w:rsid w:val="00F95D41"/>
    <w:rsid w:val="00FA51A4"/>
    <w:rsid w:val="00FE0154"/>
    <w:rsid w:val="00FE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82E3"/>
  <w15:docId w15:val="{AE07726E-5A9C-4FB0-BA27-A2E0286B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365AB"/>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365AB"/>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365AB"/>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5365AB"/>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365AB"/>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rsid w:val="005365AB"/>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rsid w:val="005365AB"/>
    <w:pPr>
      <w:keepNext/>
      <w:numPr>
        <w:ilvl w:val="6"/>
        <w:numId w:val="38"/>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E07FCF"/>
    <w:pPr>
      <w:spacing w:before="0" w:after="240"/>
      <w:ind w:left="720"/>
      <w:jc w:val="left"/>
    </w:pPr>
    <w:rPr>
      <w:rFonts w:ascii="Arial" w:eastAsia="Times New Roman" w:hAnsi="Arial"/>
      <w:sz w:val="22"/>
      <w:szCs w:val="20"/>
      <w:lang w:eastAsia="en-GB"/>
    </w:rPr>
  </w:style>
  <w:style w:type="paragraph" w:styleId="List">
    <w:name w:val="List"/>
    <w:autoRedefine/>
    <w:uiPriority w:val="99"/>
    <w:semiHidden/>
    <w:qFormat/>
    <w:rsid w:val="00E07FCF"/>
    <w:pPr>
      <w:numPr>
        <w:numId w:val="1"/>
      </w:numPr>
      <w:spacing w:before="240" w:after="120" w:line="240" w:lineRule="auto"/>
      <w:contextualSpacing/>
    </w:pPr>
    <w:rPr>
      <w:rFonts w:eastAsiaTheme="minorEastAsia"/>
      <w:szCs w:val="24"/>
    </w:rPr>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E07FCF"/>
    <w:rPr>
      <w:rFonts w:ascii="Arial" w:eastAsia="Times New Roman" w:hAnsi="Arial" w:cs="Times New Roman"/>
      <w:szCs w:val="20"/>
      <w:lang w:val="en-GB" w:eastAsia="en-GB"/>
    </w:rPr>
  </w:style>
  <w:style w:type="table" w:customStyle="1" w:styleId="TableGrid2">
    <w:name w:val="Table Grid2"/>
    <w:basedOn w:val="TableNormal"/>
    <w:uiPriority w:val="39"/>
    <w:rsid w:val="001D300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62B66"/>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562B66"/>
    <w:pPr>
      <w:spacing w:after="0"/>
    </w:pPr>
  </w:style>
  <w:style w:type="paragraph" w:styleId="ListBullet">
    <w:name w:val="List Bullet"/>
    <w:basedOn w:val="Normal"/>
    <w:uiPriority w:val="99"/>
    <w:semiHidden/>
    <w:unhideWhenUsed/>
    <w:rsid w:val="00562B66"/>
    <w:pPr>
      <w:numPr>
        <w:numId w:val="6"/>
      </w:numPr>
      <w:contextualSpacing/>
    </w:pPr>
  </w:style>
  <w:style w:type="paragraph" w:styleId="ListBullet2">
    <w:name w:val="List Bullet 2"/>
    <w:basedOn w:val="Normal"/>
    <w:uiPriority w:val="99"/>
    <w:semiHidden/>
    <w:unhideWhenUsed/>
    <w:rsid w:val="00562B66"/>
    <w:pPr>
      <w:numPr>
        <w:numId w:val="7"/>
      </w:numPr>
      <w:contextualSpacing/>
    </w:pPr>
  </w:style>
  <w:style w:type="paragraph" w:styleId="ListBullet3">
    <w:name w:val="List Bullet 3"/>
    <w:basedOn w:val="Normal"/>
    <w:uiPriority w:val="99"/>
    <w:semiHidden/>
    <w:unhideWhenUsed/>
    <w:rsid w:val="00562B66"/>
    <w:pPr>
      <w:numPr>
        <w:numId w:val="8"/>
      </w:numPr>
      <w:contextualSpacing/>
    </w:pPr>
  </w:style>
  <w:style w:type="paragraph" w:styleId="ListBullet4">
    <w:name w:val="List Bullet 4"/>
    <w:basedOn w:val="Normal"/>
    <w:uiPriority w:val="99"/>
    <w:semiHidden/>
    <w:unhideWhenUsed/>
    <w:rsid w:val="00562B66"/>
    <w:pPr>
      <w:numPr>
        <w:numId w:val="9"/>
      </w:numPr>
      <w:contextualSpacing/>
    </w:pPr>
  </w:style>
  <w:style w:type="paragraph" w:styleId="ListNumber">
    <w:name w:val="List Number"/>
    <w:basedOn w:val="Normal"/>
    <w:uiPriority w:val="99"/>
    <w:semiHidden/>
    <w:unhideWhenUsed/>
    <w:rsid w:val="00562B66"/>
    <w:pPr>
      <w:numPr>
        <w:numId w:val="10"/>
      </w:numPr>
      <w:contextualSpacing/>
    </w:pPr>
  </w:style>
  <w:style w:type="paragraph" w:styleId="ListNumber2">
    <w:name w:val="List Number 2"/>
    <w:basedOn w:val="Normal"/>
    <w:uiPriority w:val="99"/>
    <w:semiHidden/>
    <w:unhideWhenUsed/>
    <w:rsid w:val="00562B66"/>
    <w:pPr>
      <w:numPr>
        <w:numId w:val="11"/>
      </w:numPr>
      <w:contextualSpacing/>
    </w:pPr>
  </w:style>
  <w:style w:type="paragraph" w:styleId="ListNumber3">
    <w:name w:val="List Number 3"/>
    <w:basedOn w:val="Normal"/>
    <w:uiPriority w:val="99"/>
    <w:semiHidden/>
    <w:unhideWhenUsed/>
    <w:rsid w:val="00562B66"/>
    <w:pPr>
      <w:numPr>
        <w:numId w:val="12"/>
      </w:numPr>
      <w:contextualSpacing/>
    </w:pPr>
  </w:style>
  <w:style w:type="paragraph" w:styleId="ListNumber4">
    <w:name w:val="List Number 4"/>
    <w:basedOn w:val="Normal"/>
    <w:uiPriority w:val="99"/>
    <w:semiHidden/>
    <w:unhideWhenUsed/>
    <w:rsid w:val="00562B66"/>
    <w:pPr>
      <w:numPr>
        <w:numId w:val="13"/>
      </w:numPr>
      <w:contextualSpacing/>
    </w:pPr>
  </w:style>
  <w:style w:type="character" w:styleId="CommentReference">
    <w:name w:val="annotation reference"/>
    <w:basedOn w:val="DefaultParagraphFont"/>
    <w:uiPriority w:val="99"/>
    <w:semiHidden/>
    <w:unhideWhenUsed/>
    <w:rsid w:val="00F95D41"/>
    <w:rPr>
      <w:sz w:val="16"/>
      <w:szCs w:val="16"/>
    </w:rPr>
  </w:style>
  <w:style w:type="paragraph" w:styleId="CommentText">
    <w:name w:val="annotation text"/>
    <w:basedOn w:val="Normal"/>
    <w:link w:val="CommentTextChar"/>
    <w:uiPriority w:val="99"/>
    <w:semiHidden/>
    <w:unhideWhenUsed/>
    <w:rsid w:val="00F95D41"/>
    <w:rPr>
      <w:sz w:val="20"/>
      <w:szCs w:val="20"/>
    </w:rPr>
  </w:style>
  <w:style w:type="character" w:customStyle="1" w:styleId="CommentTextChar">
    <w:name w:val="Comment Text Char"/>
    <w:basedOn w:val="DefaultParagraphFont"/>
    <w:link w:val="CommentText"/>
    <w:uiPriority w:val="99"/>
    <w:semiHidden/>
    <w:rsid w:val="00F95D4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5D41"/>
    <w:rPr>
      <w:b/>
      <w:bCs/>
    </w:rPr>
  </w:style>
  <w:style w:type="character" w:customStyle="1" w:styleId="CommentSubjectChar">
    <w:name w:val="Comment Subject Char"/>
    <w:basedOn w:val="CommentTextChar"/>
    <w:link w:val="CommentSubject"/>
    <w:uiPriority w:val="99"/>
    <w:semiHidden/>
    <w:rsid w:val="00F95D41"/>
    <w:rPr>
      <w:rFonts w:ascii="Times New Roman" w:hAnsi="Times New Roman" w:cs="Times New Roman"/>
      <w:b/>
      <w:bCs/>
      <w:sz w:val="20"/>
      <w:szCs w:val="20"/>
      <w:lang w:val="en-GB"/>
    </w:rPr>
  </w:style>
  <w:style w:type="character" w:styleId="Hyperlink">
    <w:name w:val="Hyperlink"/>
    <w:basedOn w:val="DefaultParagraphFont"/>
    <w:uiPriority w:val="99"/>
    <w:unhideWhenUsed/>
    <w:rsid w:val="00F95D41"/>
    <w:rPr>
      <w:color w:val="0000FF" w:themeColor="hyperlink"/>
      <w:u w:val="single"/>
    </w:rPr>
  </w:style>
  <w:style w:type="paragraph" w:styleId="BalloonText">
    <w:name w:val="Balloon Text"/>
    <w:basedOn w:val="Normal"/>
    <w:link w:val="BalloonTextChar"/>
    <w:uiPriority w:val="99"/>
    <w:semiHidden/>
    <w:unhideWhenUsed/>
    <w:rsid w:val="00F95D4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41"/>
    <w:rPr>
      <w:rFonts w:ascii="Segoe UI" w:hAnsi="Segoe UI" w:cs="Segoe UI"/>
      <w:sz w:val="18"/>
      <w:szCs w:val="18"/>
      <w:lang w:val="en-GB"/>
    </w:rPr>
  </w:style>
  <w:style w:type="paragraph" w:styleId="Revision">
    <w:name w:val="Revision"/>
    <w:hidden/>
    <w:uiPriority w:val="99"/>
    <w:semiHidden/>
    <w:rsid w:val="00E128FB"/>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211E78"/>
    <w:rPr>
      <w:color w:val="800080" w:themeColor="followedHyperlink"/>
      <w:u w:val="single"/>
    </w:rPr>
  </w:style>
  <w:style w:type="character" w:styleId="Emphasis">
    <w:name w:val="Emphasis"/>
    <w:basedOn w:val="DefaultParagraphFont"/>
    <w:uiPriority w:val="20"/>
    <w:qFormat/>
    <w:rsid w:val="00F87B58"/>
    <w:rPr>
      <w:i/>
      <w:iCs/>
    </w:rPr>
  </w:style>
  <w:style w:type="paragraph" w:styleId="NormalWeb">
    <w:name w:val="Normal (Web)"/>
    <w:basedOn w:val="Normal"/>
    <w:uiPriority w:val="99"/>
    <w:unhideWhenUsed/>
    <w:rsid w:val="00D43741"/>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rsid w:val="00E32439"/>
    <w:pPr>
      <w:tabs>
        <w:tab w:val="center" w:pos="4535"/>
        <w:tab w:val="right" w:pos="9071"/>
      </w:tabs>
      <w:spacing w:before="0"/>
    </w:pPr>
  </w:style>
  <w:style w:type="character" w:customStyle="1" w:styleId="HeaderChar">
    <w:name w:val="Header Char"/>
    <w:basedOn w:val="DefaultParagraphFont"/>
    <w:link w:val="Header"/>
    <w:uiPriority w:val="99"/>
    <w:rsid w:val="00E32439"/>
    <w:rPr>
      <w:rFonts w:ascii="Times New Roman" w:hAnsi="Times New Roman" w:cs="Times New Roman"/>
      <w:sz w:val="24"/>
      <w:lang w:val="en-GB"/>
    </w:rPr>
  </w:style>
  <w:style w:type="paragraph" w:styleId="Footer">
    <w:name w:val="footer"/>
    <w:basedOn w:val="Normal"/>
    <w:link w:val="FooterChar"/>
    <w:uiPriority w:val="99"/>
    <w:unhideWhenUsed/>
    <w:rsid w:val="00E3243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3243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5365AB"/>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365AB"/>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365AB"/>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365AB"/>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365AB"/>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365AB"/>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365AB"/>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365AB"/>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365AB"/>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365AB"/>
    <w:pPr>
      <w:spacing w:after="240"/>
      <w:jc w:val="center"/>
    </w:pPr>
    <w:rPr>
      <w:b/>
      <w:sz w:val="28"/>
    </w:rPr>
  </w:style>
  <w:style w:type="paragraph" w:styleId="TOC1">
    <w:name w:val="toc 1"/>
    <w:basedOn w:val="Normal"/>
    <w:next w:val="Normal"/>
    <w:uiPriority w:val="39"/>
    <w:semiHidden/>
    <w:unhideWhenUsed/>
    <w:rsid w:val="005365AB"/>
    <w:pPr>
      <w:tabs>
        <w:tab w:val="right" w:leader="dot" w:pos="9071"/>
      </w:tabs>
      <w:spacing w:before="60"/>
      <w:ind w:left="850" w:hanging="850"/>
      <w:jc w:val="left"/>
    </w:pPr>
  </w:style>
  <w:style w:type="paragraph" w:styleId="TOC2">
    <w:name w:val="toc 2"/>
    <w:basedOn w:val="Normal"/>
    <w:next w:val="Normal"/>
    <w:uiPriority w:val="39"/>
    <w:semiHidden/>
    <w:unhideWhenUsed/>
    <w:rsid w:val="005365AB"/>
    <w:pPr>
      <w:tabs>
        <w:tab w:val="right" w:leader="dot" w:pos="9071"/>
      </w:tabs>
      <w:spacing w:before="60"/>
      <w:ind w:left="850" w:hanging="850"/>
      <w:jc w:val="left"/>
    </w:pPr>
  </w:style>
  <w:style w:type="paragraph" w:styleId="TOC3">
    <w:name w:val="toc 3"/>
    <w:basedOn w:val="Normal"/>
    <w:next w:val="Normal"/>
    <w:uiPriority w:val="39"/>
    <w:semiHidden/>
    <w:unhideWhenUsed/>
    <w:rsid w:val="005365AB"/>
    <w:pPr>
      <w:tabs>
        <w:tab w:val="right" w:leader="dot" w:pos="9071"/>
      </w:tabs>
      <w:spacing w:before="60"/>
      <w:ind w:left="850" w:hanging="850"/>
      <w:jc w:val="left"/>
    </w:pPr>
  </w:style>
  <w:style w:type="paragraph" w:styleId="TOC4">
    <w:name w:val="toc 4"/>
    <w:basedOn w:val="Normal"/>
    <w:next w:val="Normal"/>
    <w:uiPriority w:val="39"/>
    <w:semiHidden/>
    <w:unhideWhenUsed/>
    <w:rsid w:val="005365AB"/>
    <w:pPr>
      <w:tabs>
        <w:tab w:val="right" w:leader="dot" w:pos="9071"/>
      </w:tabs>
      <w:spacing w:before="60"/>
      <w:ind w:left="850" w:hanging="850"/>
      <w:jc w:val="left"/>
    </w:pPr>
  </w:style>
  <w:style w:type="paragraph" w:styleId="TOC5">
    <w:name w:val="toc 5"/>
    <w:basedOn w:val="Normal"/>
    <w:next w:val="Normal"/>
    <w:uiPriority w:val="39"/>
    <w:semiHidden/>
    <w:unhideWhenUsed/>
    <w:rsid w:val="005365AB"/>
    <w:pPr>
      <w:tabs>
        <w:tab w:val="right" w:leader="dot" w:pos="9071"/>
      </w:tabs>
      <w:spacing w:before="300"/>
      <w:jc w:val="left"/>
    </w:pPr>
  </w:style>
  <w:style w:type="paragraph" w:styleId="TOC6">
    <w:name w:val="toc 6"/>
    <w:basedOn w:val="Normal"/>
    <w:next w:val="Normal"/>
    <w:uiPriority w:val="39"/>
    <w:semiHidden/>
    <w:unhideWhenUsed/>
    <w:rsid w:val="005365AB"/>
    <w:pPr>
      <w:tabs>
        <w:tab w:val="right" w:leader="dot" w:pos="9071"/>
      </w:tabs>
      <w:spacing w:before="240"/>
      <w:jc w:val="left"/>
    </w:pPr>
  </w:style>
  <w:style w:type="paragraph" w:styleId="TOC7">
    <w:name w:val="toc 7"/>
    <w:basedOn w:val="Normal"/>
    <w:next w:val="Normal"/>
    <w:uiPriority w:val="39"/>
    <w:semiHidden/>
    <w:unhideWhenUsed/>
    <w:rsid w:val="005365AB"/>
    <w:pPr>
      <w:tabs>
        <w:tab w:val="right" w:leader="dot" w:pos="9071"/>
      </w:tabs>
      <w:spacing w:before="180"/>
      <w:jc w:val="left"/>
    </w:pPr>
  </w:style>
  <w:style w:type="paragraph" w:styleId="TOC8">
    <w:name w:val="toc 8"/>
    <w:basedOn w:val="Normal"/>
    <w:next w:val="Normal"/>
    <w:uiPriority w:val="39"/>
    <w:semiHidden/>
    <w:unhideWhenUsed/>
    <w:rsid w:val="005365AB"/>
    <w:pPr>
      <w:tabs>
        <w:tab w:val="right" w:leader="dot" w:pos="9071"/>
      </w:tabs>
      <w:jc w:val="left"/>
    </w:pPr>
  </w:style>
  <w:style w:type="paragraph" w:styleId="TOC9">
    <w:name w:val="toc 9"/>
    <w:basedOn w:val="Normal"/>
    <w:next w:val="Normal"/>
    <w:uiPriority w:val="39"/>
    <w:semiHidden/>
    <w:unhideWhenUsed/>
    <w:rsid w:val="005365AB"/>
    <w:pPr>
      <w:tabs>
        <w:tab w:val="right" w:leader="dot" w:pos="9071"/>
      </w:tabs>
      <w:ind w:left="1417" w:hanging="1417"/>
      <w:jc w:val="left"/>
    </w:pPr>
  </w:style>
  <w:style w:type="paragraph" w:customStyle="1" w:styleId="HeaderLandscape">
    <w:name w:val="HeaderLandscape"/>
    <w:basedOn w:val="Normal"/>
    <w:rsid w:val="00E32439"/>
    <w:pPr>
      <w:tabs>
        <w:tab w:val="center" w:pos="7285"/>
        <w:tab w:val="right" w:pos="14003"/>
      </w:tabs>
      <w:spacing w:before="0"/>
    </w:pPr>
  </w:style>
  <w:style w:type="paragraph" w:customStyle="1" w:styleId="FooterLandscape">
    <w:name w:val="FooterLandscape"/>
    <w:basedOn w:val="Normal"/>
    <w:rsid w:val="00E3243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365AB"/>
    <w:rPr>
      <w:shd w:val="clear" w:color="auto" w:fill="auto"/>
      <w:vertAlign w:val="superscript"/>
    </w:rPr>
  </w:style>
  <w:style w:type="paragraph" w:customStyle="1" w:styleId="HeaderSensitivity">
    <w:name w:val="Header Sensitivity"/>
    <w:basedOn w:val="Normal"/>
    <w:rsid w:val="00E3243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32439"/>
    <w:pPr>
      <w:spacing w:before="0"/>
      <w:jc w:val="right"/>
    </w:pPr>
    <w:rPr>
      <w:sz w:val="28"/>
    </w:rPr>
  </w:style>
  <w:style w:type="paragraph" w:customStyle="1" w:styleId="FooterSensitivity">
    <w:name w:val="Footer Sensitivity"/>
    <w:basedOn w:val="Normal"/>
    <w:rsid w:val="00E3243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365AB"/>
    <w:pPr>
      <w:ind w:left="850"/>
    </w:pPr>
  </w:style>
  <w:style w:type="paragraph" w:customStyle="1" w:styleId="Text2">
    <w:name w:val="Text 2"/>
    <w:basedOn w:val="Normal"/>
    <w:rsid w:val="005365AB"/>
    <w:pPr>
      <w:ind w:left="1417"/>
    </w:pPr>
  </w:style>
  <w:style w:type="paragraph" w:customStyle="1" w:styleId="Text3">
    <w:name w:val="Text 3"/>
    <w:basedOn w:val="Normal"/>
    <w:rsid w:val="005365AB"/>
    <w:pPr>
      <w:ind w:left="1984"/>
    </w:pPr>
  </w:style>
  <w:style w:type="paragraph" w:customStyle="1" w:styleId="Text4">
    <w:name w:val="Text 4"/>
    <w:basedOn w:val="Normal"/>
    <w:rsid w:val="005365AB"/>
    <w:pPr>
      <w:ind w:left="2551"/>
    </w:pPr>
  </w:style>
  <w:style w:type="paragraph" w:customStyle="1" w:styleId="Text5">
    <w:name w:val="Text 5"/>
    <w:basedOn w:val="Normal"/>
    <w:rsid w:val="005365AB"/>
    <w:pPr>
      <w:ind w:left="3118"/>
    </w:pPr>
  </w:style>
  <w:style w:type="paragraph" w:customStyle="1" w:styleId="Text6">
    <w:name w:val="Text 6"/>
    <w:basedOn w:val="Normal"/>
    <w:rsid w:val="005365AB"/>
    <w:pPr>
      <w:ind w:left="3685"/>
    </w:pPr>
  </w:style>
  <w:style w:type="paragraph" w:customStyle="1" w:styleId="NormalCentered">
    <w:name w:val="Normal Centered"/>
    <w:basedOn w:val="Normal"/>
    <w:rsid w:val="005365AB"/>
    <w:pPr>
      <w:jc w:val="center"/>
    </w:pPr>
  </w:style>
  <w:style w:type="paragraph" w:customStyle="1" w:styleId="NormalLeft">
    <w:name w:val="Normal Left"/>
    <w:basedOn w:val="Normal"/>
    <w:rsid w:val="005365AB"/>
    <w:pPr>
      <w:jc w:val="left"/>
    </w:pPr>
  </w:style>
  <w:style w:type="paragraph" w:customStyle="1" w:styleId="NormalRight">
    <w:name w:val="Normal Right"/>
    <w:basedOn w:val="Normal"/>
    <w:rsid w:val="005365AB"/>
    <w:pPr>
      <w:jc w:val="right"/>
    </w:pPr>
  </w:style>
  <w:style w:type="paragraph" w:customStyle="1" w:styleId="QuotedText">
    <w:name w:val="Quoted Text"/>
    <w:basedOn w:val="Normal"/>
    <w:rsid w:val="005365AB"/>
    <w:pPr>
      <w:ind w:left="1417"/>
    </w:pPr>
  </w:style>
  <w:style w:type="paragraph" w:customStyle="1" w:styleId="Point0">
    <w:name w:val="Point 0"/>
    <w:basedOn w:val="Normal"/>
    <w:rsid w:val="005365AB"/>
    <w:pPr>
      <w:ind w:left="850" w:hanging="850"/>
    </w:pPr>
  </w:style>
  <w:style w:type="paragraph" w:customStyle="1" w:styleId="Point1">
    <w:name w:val="Point 1"/>
    <w:basedOn w:val="Normal"/>
    <w:rsid w:val="005365AB"/>
    <w:pPr>
      <w:ind w:left="1417" w:hanging="567"/>
    </w:pPr>
  </w:style>
  <w:style w:type="paragraph" w:customStyle="1" w:styleId="Point2">
    <w:name w:val="Point 2"/>
    <w:basedOn w:val="Normal"/>
    <w:rsid w:val="005365AB"/>
    <w:pPr>
      <w:ind w:left="1984" w:hanging="567"/>
    </w:pPr>
  </w:style>
  <w:style w:type="paragraph" w:customStyle="1" w:styleId="Point3">
    <w:name w:val="Point 3"/>
    <w:basedOn w:val="Normal"/>
    <w:rsid w:val="005365AB"/>
    <w:pPr>
      <w:ind w:left="2551" w:hanging="567"/>
    </w:pPr>
  </w:style>
  <w:style w:type="paragraph" w:customStyle="1" w:styleId="Point4">
    <w:name w:val="Point 4"/>
    <w:basedOn w:val="Normal"/>
    <w:rsid w:val="005365AB"/>
    <w:pPr>
      <w:ind w:left="3118" w:hanging="567"/>
    </w:pPr>
  </w:style>
  <w:style w:type="paragraph" w:customStyle="1" w:styleId="Point5">
    <w:name w:val="Point 5"/>
    <w:basedOn w:val="Normal"/>
    <w:rsid w:val="005365AB"/>
    <w:pPr>
      <w:ind w:left="3685" w:hanging="567"/>
    </w:pPr>
  </w:style>
  <w:style w:type="paragraph" w:customStyle="1" w:styleId="Tiret0">
    <w:name w:val="Tiret 0"/>
    <w:basedOn w:val="Point0"/>
    <w:rsid w:val="005365AB"/>
    <w:pPr>
      <w:numPr>
        <w:numId w:val="31"/>
      </w:numPr>
    </w:pPr>
  </w:style>
  <w:style w:type="paragraph" w:customStyle="1" w:styleId="Tiret1">
    <w:name w:val="Tiret 1"/>
    <w:basedOn w:val="Point1"/>
    <w:rsid w:val="005365AB"/>
    <w:pPr>
      <w:numPr>
        <w:numId w:val="32"/>
      </w:numPr>
    </w:pPr>
  </w:style>
  <w:style w:type="paragraph" w:customStyle="1" w:styleId="Tiret2">
    <w:name w:val="Tiret 2"/>
    <w:basedOn w:val="Point2"/>
    <w:rsid w:val="005365AB"/>
    <w:pPr>
      <w:numPr>
        <w:numId w:val="33"/>
      </w:numPr>
    </w:pPr>
  </w:style>
  <w:style w:type="paragraph" w:customStyle="1" w:styleId="Tiret3">
    <w:name w:val="Tiret 3"/>
    <w:basedOn w:val="Point3"/>
    <w:rsid w:val="005365AB"/>
    <w:pPr>
      <w:numPr>
        <w:numId w:val="34"/>
      </w:numPr>
    </w:pPr>
  </w:style>
  <w:style w:type="paragraph" w:customStyle="1" w:styleId="Tiret4">
    <w:name w:val="Tiret 4"/>
    <w:basedOn w:val="Point4"/>
    <w:rsid w:val="005365AB"/>
    <w:pPr>
      <w:numPr>
        <w:numId w:val="35"/>
      </w:numPr>
    </w:pPr>
  </w:style>
  <w:style w:type="paragraph" w:customStyle="1" w:styleId="Tiret5">
    <w:name w:val="Tiret 5"/>
    <w:basedOn w:val="Point5"/>
    <w:rsid w:val="005365AB"/>
    <w:pPr>
      <w:numPr>
        <w:numId w:val="36"/>
      </w:numPr>
    </w:pPr>
  </w:style>
  <w:style w:type="paragraph" w:customStyle="1" w:styleId="PointDouble0">
    <w:name w:val="PointDouble 0"/>
    <w:basedOn w:val="Normal"/>
    <w:rsid w:val="005365AB"/>
    <w:pPr>
      <w:tabs>
        <w:tab w:val="left" w:pos="850"/>
      </w:tabs>
      <w:ind w:left="1417" w:hanging="1417"/>
    </w:pPr>
  </w:style>
  <w:style w:type="paragraph" w:customStyle="1" w:styleId="PointDouble1">
    <w:name w:val="PointDouble 1"/>
    <w:basedOn w:val="Normal"/>
    <w:rsid w:val="005365AB"/>
    <w:pPr>
      <w:tabs>
        <w:tab w:val="left" w:pos="1417"/>
      </w:tabs>
      <w:ind w:left="1984" w:hanging="1134"/>
    </w:pPr>
  </w:style>
  <w:style w:type="paragraph" w:customStyle="1" w:styleId="PointDouble2">
    <w:name w:val="PointDouble 2"/>
    <w:basedOn w:val="Normal"/>
    <w:rsid w:val="005365AB"/>
    <w:pPr>
      <w:tabs>
        <w:tab w:val="left" w:pos="1984"/>
      </w:tabs>
      <w:ind w:left="2551" w:hanging="1134"/>
    </w:pPr>
  </w:style>
  <w:style w:type="paragraph" w:customStyle="1" w:styleId="PointDouble3">
    <w:name w:val="PointDouble 3"/>
    <w:basedOn w:val="Normal"/>
    <w:rsid w:val="005365AB"/>
    <w:pPr>
      <w:tabs>
        <w:tab w:val="left" w:pos="2551"/>
      </w:tabs>
      <w:ind w:left="3118" w:hanging="1134"/>
    </w:pPr>
  </w:style>
  <w:style w:type="paragraph" w:customStyle="1" w:styleId="PointDouble4">
    <w:name w:val="PointDouble 4"/>
    <w:basedOn w:val="Normal"/>
    <w:rsid w:val="005365AB"/>
    <w:pPr>
      <w:tabs>
        <w:tab w:val="left" w:pos="3118"/>
      </w:tabs>
      <w:ind w:left="3685" w:hanging="1134"/>
    </w:pPr>
  </w:style>
  <w:style w:type="paragraph" w:customStyle="1" w:styleId="PointTriple0">
    <w:name w:val="PointTriple 0"/>
    <w:basedOn w:val="Normal"/>
    <w:rsid w:val="005365AB"/>
    <w:pPr>
      <w:tabs>
        <w:tab w:val="left" w:pos="850"/>
        <w:tab w:val="left" w:pos="1417"/>
      </w:tabs>
      <w:ind w:left="1984" w:hanging="1984"/>
    </w:pPr>
  </w:style>
  <w:style w:type="paragraph" w:customStyle="1" w:styleId="PointTriple1">
    <w:name w:val="PointTriple 1"/>
    <w:basedOn w:val="Normal"/>
    <w:rsid w:val="005365AB"/>
    <w:pPr>
      <w:tabs>
        <w:tab w:val="left" w:pos="1417"/>
        <w:tab w:val="left" w:pos="1984"/>
      </w:tabs>
      <w:ind w:left="2551" w:hanging="1701"/>
    </w:pPr>
  </w:style>
  <w:style w:type="paragraph" w:customStyle="1" w:styleId="PointTriple2">
    <w:name w:val="PointTriple 2"/>
    <w:basedOn w:val="Normal"/>
    <w:rsid w:val="005365AB"/>
    <w:pPr>
      <w:tabs>
        <w:tab w:val="left" w:pos="1984"/>
        <w:tab w:val="left" w:pos="2551"/>
      </w:tabs>
      <w:ind w:left="3118" w:hanging="1701"/>
    </w:pPr>
  </w:style>
  <w:style w:type="paragraph" w:customStyle="1" w:styleId="PointTriple3">
    <w:name w:val="PointTriple 3"/>
    <w:basedOn w:val="Normal"/>
    <w:rsid w:val="005365AB"/>
    <w:pPr>
      <w:tabs>
        <w:tab w:val="left" w:pos="2551"/>
        <w:tab w:val="left" w:pos="3118"/>
      </w:tabs>
      <w:ind w:left="3685" w:hanging="1701"/>
    </w:pPr>
  </w:style>
  <w:style w:type="paragraph" w:customStyle="1" w:styleId="PointTriple4">
    <w:name w:val="PointTriple 4"/>
    <w:basedOn w:val="Normal"/>
    <w:rsid w:val="005365AB"/>
    <w:pPr>
      <w:tabs>
        <w:tab w:val="left" w:pos="3118"/>
        <w:tab w:val="left" w:pos="3685"/>
      </w:tabs>
      <w:ind w:left="4252" w:hanging="1701"/>
    </w:pPr>
  </w:style>
  <w:style w:type="paragraph" w:customStyle="1" w:styleId="NumPar1">
    <w:name w:val="NumPar 1"/>
    <w:basedOn w:val="Normal"/>
    <w:next w:val="Text1"/>
    <w:rsid w:val="005365AB"/>
    <w:pPr>
      <w:numPr>
        <w:numId w:val="37"/>
      </w:numPr>
    </w:pPr>
  </w:style>
  <w:style w:type="paragraph" w:customStyle="1" w:styleId="NumPar2">
    <w:name w:val="NumPar 2"/>
    <w:basedOn w:val="Normal"/>
    <w:next w:val="Text1"/>
    <w:rsid w:val="005365AB"/>
    <w:pPr>
      <w:numPr>
        <w:ilvl w:val="1"/>
        <w:numId w:val="37"/>
      </w:numPr>
    </w:pPr>
  </w:style>
  <w:style w:type="paragraph" w:customStyle="1" w:styleId="NumPar3">
    <w:name w:val="NumPar 3"/>
    <w:basedOn w:val="Normal"/>
    <w:next w:val="Text1"/>
    <w:rsid w:val="005365AB"/>
    <w:pPr>
      <w:numPr>
        <w:ilvl w:val="2"/>
        <w:numId w:val="37"/>
      </w:numPr>
    </w:pPr>
  </w:style>
  <w:style w:type="paragraph" w:customStyle="1" w:styleId="NumPar4">
    <w:name w:val="NumPar 4"/>
    <w:basedOn w:val="Normal"/>
    <w:next w:val="Text1"/>
    <w:rsid w:val="005365AB"/>
    <w:pPr>
      <w:numPr>
        <w:ilvl w:val="3"/>
        <w:numId w:val="37"/>
      </w:numPr>
    </w:pPr>
  </w:style>
  <w:style w:type="paragraph" w:customStyle="1" w:styleId="NumPar5">
    <w:name w:val="NumPar 5"/>
    <w:basedOn w:val="Normal"/>
    <w:next w:val="Text2"/>
    <w:rsid w:val="005365AB"/>
    <w:pPr>
      <w:numPr>
        <w:ilvl w:val="4"/>
        <w:numId w:val="37"/>
      </w:numPr>
    </w:pPr>
  </w:style>
  <w:style w:type="paragraph" w:customStyle="1" w:styleId="NumPar6">
    <w:name w:val="NumPar 6"/>
    <w:basedOn w:val="Normal"/>
    <w:next w:val="Text2"/>
    <w:rsid w:val="005365AB"/>
    <w:pPr>
      <w:numPr>
        <w:ilvl w:val="5"/>
        <w:numId w:val="37"/>
      </w:numPr>
    </w:pPr>
  </w:style>
  <w:style w:type="paragraph" w:customStyle="1" w:styleId="NumPar7">
    <w:name w:val="NumPar 7"/>
    <w:basedOn w:val="Normal"/>
    <w:next w:val="Text2"/>
    <w:rsid w:val="005365AB"/>
    <w:pPr>
      <w:numPr>
        <w:ilvl w:val="6"/>
        <w:numId w:val="37"/>
      </w:numPr>
    </w:pPr>
  </w:style>
  <w:style w:type="paragraph" w:customStyle="1" w:styleId="ManualNumPar1">
    <w:name w:val="Manual NumPar 1"/>
    <w:basedOn w:val="Normal"/>
    <w:next w:val="Text1"/>
    <w:rsid w:val="005365AB"/>
    <w:pPr>
      <w:ind w:left="850" w:hanging="850"/>
    </w:pPr>
  </w:style>
  <w:style w:type="paragraph" w:customStyle="1" w:styleId="ManualNumPar2">
    <w:name w:val="Manual NumPar 2"/>
    <w:basedOn w:val="Normal"/>
    <w:next w:val="Text1"/>
    <w:rsid w:val="005365AB"/>
    <w:pPr>
      <w:ind w:left="850" w:hanging="850"/>
    </w:pPr>
  </w:style>
  <w:style w:type="paragraph" w:customStyle="1" w:styleId="ManualNumPar3">
    <w:name w:val="Manual NumPar 3"/>
    <w:basedOn w:val="Normal"/>
    <w:next w:val="Text1"/>
    <w:rsid w:val="005365AB"/>
    <w:pPr>
      <w:ind w:left="850" w:hanging="850"/>
    </w:pPr>
  </w:style>
  <w:style w:type="paragraph" w:customStyle="1" w:styleId="ManualNumPar4">
    <w:name w:val="Manual NumPar 4"/>
    <w:basedOn w:val="Normal"/>
    <w:next w:val="Text1"/>
    <w:rsid w:val="005365AB"/>
    <w:pPr>
      <w:ind w:left="850" w:hanging="850"/>
    </w:pPr>
  </w:style>
  <w:style w:type="paragraph" w:customStyle="1" w:styleId="ManualNumPar5">
    <w:name w:val="Manual NumPar 5"/>
    <w:basedOn w:val="Normal"/>
    <w:next w:val="Text2"/>
    <w:rsid w:val="005365AB"/>
    <w:pPr>
      <w:ind w:left="1417" w:hanging="1417"/>
    </w:pPr>
  </w:style>
  <w:style w:type="paragraph" w:customStyle="1" w:styleId="ManualNumPar6">
    <w:name w:val="Manual NumPar 6"/>
    <w:basedOn w:val="Normal"/>
    <w:next w:val="Text2"/>
    <w:rsid w:val="005365AB"/>
    <w:pPr>
      <w:ind w:left="1417" w:hanging="1417"/>
    </w:pPr>
  </w:style>
  <w:style w:type="paragraph" w:customStyle="1" w:styleId="ManualNumPar7">
    <w:name w:val="Manual NumPar 7"/>
    <w:basedOn w:val="Normal"/>
    <w:next w:val="Text2"/>
    <w:rsid w:val="005365AB"/>
    <w:pPr>
      <w:ind w:left="1417" w:hanging="1417"/>
    </w:pPr>
  </w:style>
  <w:style w:type="paragraph" w:customStyle="1" w:styleId="QuotedNumPar">
    <w:name w:val="Quoted NumPar"/>
    <w:basedOn w:val="Normal"/>
    <w:rsid w:val="005365AB"/>
    <w:pPr>
      <w:ind w:left="1417" w:hanging="567"/>
    </w:pPr>
  </w:style>
  <w:style w:type="paragraph" w:customStyle="1" w:styleId="ManualHeading1">
    <w:name w:val="Manual Heading 1"/>
    <w:basedOn w:val="Normal"/>
    <w:next w:val="Text1"/>
    <w:rsid w:val="005365AB"/>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365AB"/>
    <w:pPr>
      <w:keepNext/>
      <w:tabs>
        <w:tab w:val="left" w:pos="850"/>
      </w:tabs>
      <w:ind w:left="850" w:hanging="850"/>
      <w:outlineLvl w:val="1"/>
    </w:pPr>
    <w:rPr>
      <w:b/>
    </w:rPr>
  </w:style>
  <w:style w:type="paragraph" w:customStyle="1" w:styleId="ManualHeading3">
    <w:name w:val="Manual Heading 3"/>
    <w:basedOn w:val="Normal"/>
    <w:next w:val="Text1"/>
    <w:rsid w:val="005365AB"/>
    <w:pPr>
      <w:keepNext/>
      <w:tabs>
        <w:tab w:val="left" w:pos="850"/>
      </w:tabs>
      <w:ind w:left="850" w:hanging="850"/>
      <w:outlineLvl w:val="2"/>
    </w:pPr>
    <w:rPr>
      <w:i/>
    </w:rPr>
  </w:style>
  <w:style w:type="paragraph" w:customStyle="1" w:styleId="ManualHeading4">
    <w:name w:val="Manual Heading 4"/>
    <w:basedOn w:val="Normal"/>
    <w:next w:val="Text1"/>
    <w:rsid w:val="005365AB"/>
    <w:pPr>
      <w:keepNext/>
      <w:tabs>
        <w:tab w:val="left" w:pos="850"/>
      </w:tabs>
      <w:ind w:left="850" w:hanging="850"/>
      <w:outlineLvl w:val="3"/>
    </w:pPr>
  </w:style>
  <w:style w:type="paragraph" w:customStyle="1" w:styleId="ManualHeading5">
    <w:name w:val="Manual Heading 5"/>
    <w:basedOn w:val="Normal"/>
    <w:next w:val="Text2"/>
    <w:rsid w:val="005365AB"/>
    <w:pPr>
      <w:keepNext/>
      <w:tabs>
        <w:tab w:val="left" w:pos="1417"/>
      </w:tabs>
      <w:ind w:left="1417" w:hanging="1417"/>
      <w:outlineLvl w:val="4"/>
    </w:pPr>
  </w:style>
  <w:style w:type="paragraph" w:customStyle="1" w:styleId="ManualHeading6">
    <w:name w:val="Manual Heading 6"/>
    <w:basedOn w:val="Normal"/>
    <w:next w:val="Text2"/>
    <w:rsid w:val="005365AB"/>
    <w:pPr>
      <w:keepNext/>
      <w:tabs>
        <w:tab w:val="left" w:pos="1417"/>
      </w:tabs>
      <w:ind w:left="1417" w:hanging="1417"/>
      <w:outlineLvl w:val="5"/>
    </w:pPr>
  </w:style>
  <w:style w:type="paragraph" w:customStyle="1" w:styleId="ManualHeading7">
    <w:name w:val="Manual Heading 7"/>
    <w:basedOn w:val="Normal"/>
    <w:next w:val="Text2"/>
    <w:rsid w:val="005365AB"/>
    <w:pPr>
      <w:keepNext/>
      <w:tabs>
        <w:tab w:val="left" w:pos="1417"/>
      </w:tabs>
      <w:ind w:left="1417" w:hanging="1417"/>
      <w:outlineLvl w:val="6"/>
    </w:pPr>
  </w:style>
  <w:style w:type="paragraph" w:customStyle="1" w:styleId="ChapterTitle">
    <w:name w:val="ChapterTitle"/>
    <w:basedOn w:val="Normal"/>
    <w:next w:val="Normal"/>
    <w:rsid w:val="005365AB"/>
    <w:pPr>
      <w:keepNext/>
      <w:spacing w:after="360"/>
      <w:jc w:val="center"/>
    </w:pPr>
    <w:rPr>
      <w:b/>
      <w:sz w:val="32"/>
    </w:rPr>
  </w:style>
  <w:style w:type="paragraph" w:customStyle="1" w:styleId="PartTitle">
    <w:name w:val="PartTitle"/>
    <w:basedOn w:val="Normal"/>
    <w:next w:val="ChapterTitle"/>
    <w:rsid w:val="005365AB"/>
    <w:pPr>
      <w:keepNext/>
      <w:pageBreakBefore/>
      <w:spacing w:after="360"/>
      <w:jc w:val="center"/>
    </w:pPr>
    <w:rPr>
      <w:b/>
      <w:sz w:val="36"/>
    </w:rPr>
  </w:style>
  <w:style w:type="paragraph" w:customStyle="1" w:styleId="SectionTitle">
    <w:name w:val="SectionTitle"/>
    <w:basedOn w:val="Normal"/>
    <w:next w:val="Heading1"/>
    <w:rsid w:val="005365AB"/>
    <w:pPr>
      <w:keepNext/>
      <w:spacing w:after="360"/>
      <w:jc w:val="center"/>
    </w:pPr>
    <w:rPr>
      <w:b/>
      <w:smallCaps/>
      <w:sz w:val="28"/>
    </w:rPr>
  </w:style>
  <w:style w:type="paragraph" w:customStyle="1" w:styleId="TableTitle">
    <w:name w:val="Table Title"/>
    <w:basedOn w:val="Normal"/>
    <w:next w:val="Normal"/>
    <w:rsid w:val="005365AB"/>
    <w:pPr>
      <w:jc w:val="center"/>
    </w:pPr>
    <w:rPr>
      <w:b/>
    </w:rPr>
  </w:style>
  <w:style w:type="character" w:customStyle="1" w:styleId="Marker">
    <w:name w:val="Marker"/>
    <w:basedOn w:val="DefaultParagraphFont"/>
    <w:rsid w:val="005365AB"/>
    <w:rPr>
      <w:color w:val="0000FF"/>
      <w:shd w:val="clear" w:color="auto" w:fill="auto"/>
    </w:rPr>
  </w:style>
  <w:style w:type="character" w:customStyle="1" w:styleId="Marker1">
    <w:name w:val="Marker1"/>
    <w:basedOn w:val="DefaultParagraphFont"/>
    <w:rsid w:val="005365AB"/>
    <w:rPr>
      <w:color w:val="008000"/>
      <w:shd w:val="clear" w:color="auto" w:fill="auto"/>
    </w:rPr>
  </w:style>
  <w:style w:type="character" w:customStyle="1" w:styleId="Marker2">
    <w:name w:val="Marker2"/>
    <w:basedOn w:val="DefaultParagraphFont"/>
    <w:rsid w:val="005365AB"/>
    <w:rPr>
      <w:color w:val="FF0000"/>
      <w:shd w:val="clear" w:color="auto" w:fill="auto"/>
    </w:rPr>
  </w:style>
  <w:style w:type="paragraph" w:customStyle="1" w:styleId="Point0number">
    <w:name w:val="Point 0 (number)"/>
    <w:basedOn w:val="Normal"/>
    <w:rsid w:val="005365AB"/>
    <w:pPr>
      <w:numPr>
        <w:numId w:val="39"/>
      </w:numPr>
    </w:pPr>
  </w:style>
  <w:style w:type="paragraph" w:customStyle="1" w:styleId="Point1number">
    <w:name w:val="Point 1 (number)"/>
    <w:basedOn w:val="Normal"/>
    <w:rsid w:val="005365AB"/>
    <w:pPr>
      <w:numPr>
        <w:ilvl w:val="2"/>
        <w:numId w:val="39"/>
      </w:numPr>
    </w:pPr>
  </w:style>
  <w:style w:type="paragraph" w:customStyle="1" w:styleId="Point2number">
    <w:name w:val="Point 2 (number)"/>
    <w:basedOn w:val="Normal"/>
    <w:rsid w:val="005365AB"/>
    <w:pPr>
      <w:numPr>
        <w:ilvl w:val="4"/>
        <w:numId w:val="39"/>
      </w:numPr>
    </w:pPr>
  </w:style>
  <w:style w:type="paragraph" w:customStyle="1" w:styleId="Point3number">
    <w:name w:val="Point 3 (number)"/>
    <w:basedOn w:val="Normal"/>
    <w:rsid w:val="005365AB"/>
    <w:pPr>
      <w:numPr>
        <w:ilvl w:val="6"/>
        <w:numId w:val="39"/>
      </w:numPr>
    </w:pPr>
  </w:style>
  <w:style w:type="paragraph" w:customStyle="1" w:styleId="Point0letter">
    <w:name w:val="Point 0 (letter)"/>
    <w:basedOn w:val="Normal"/>
    <w:rsid w:val="005365AB"/>
    <w:pPr>
      <w:numPr>
        <w:ilvl w:val="1"/>
        <w:numId w:val="39"/>
      </w:numPr>
    </w:pPr>
  </w:style>
  <w:style w:type="paragraph" w:customStyle="1" w:styleId="Point1letter">
    <w:name w:val="Point 1 (letter)"/>
    <w:basedOn w:val="Normal"/>
    <w:rsid w:val="005365AB"/>
    <w:pPr>
      <w:numPr>
        <w:ilvl w:val="3"/>
        <w:numId w:val="39"/>
      </w:numPr>
    </w:pPr>
  </w:style>
  <w:style w:type="paragraph" w:customStyle="1" w:styleId="Point2letter">
    <w:name w:val="Point 2 (letter)"/>
    <w:basedOn w:val="Normal"/>
    <w:rsid w:val="005365AB"/>
    <w:pPr>
      <w:numPr>
        <w:ilvl w:val="5"/>
        <w:numId w:val="39"/>
      </w:numPr>
    </w:pPr>
  </w:style>
  <w:style w:type="paragraph" w:customStyle="1" w:styleId="Point3letter">
    <w:name w:val="Point 3 (letter)"/>
    <w:basedOn w:val="Normal"/>
    <w:rsid w:val="005365AB"/>
    <w:pPr>
      <w:numPr>
        <w:ilvl w:val="7"/>
        <w:numId w:val="39"/>
      </w:numPr>
    </w:pPr>
  </w:style>
  <w:style w:type="paragraph" w:customStyle="1" w:styleId="Point4letter">
    <w:name w:val="Point 4 (letter)"/>
    <w:basedOn w:val="Normal"/>
    <w:rsid w:val="005365AB"/>
    <w:pPr>
      <w:numPr>
        <w:ilvl w:val="8"/>
        <w:numId w:val="39"/>
      </w:numPr>
    </w:pPr>
  </w:style>
  <w:style w:type="paragraph" w:customStyle="1" w:styleId="Bullet0">
    <w:name w:val="Bullet 0"/>
    <w:basedOn w:val="Normal"/>
    <w:rsid w:val="005365AB"/>
    <w:pPr>
      <w:numPr>
        <w:numId w:val="40"/>
      </w:numPr>
    </w:pPr>
  </w:style>
  <w:style w:type="paragraph" w:customStyle="1" w:styleId="Bullet1">
    <w:name w:val="Bullet 1"/>
    <w:basedOn w:val="Normal"/>
    <w:rsid w:val="005365AB"/>
    <w:pPr>
      <w:numPr>
        <w:numId w:val="41"/>
      </w:numPr>
    </w:pPr>
  </w:style>
  <w:style w:type="paragraph" w:customStyle="1" w:styleId="Bullet2">
    <w:name w:val="Bullet 2"/>
    <w:basedOn w:val="Normal"/>
    <w:rsid w:val="005365AB"/>
    <w:pPr>
      <w:numPr>
        <w:numId w:val="42"/>
      </w:numPr>
    </w:pPr>
  </w:style>
  <w:style w:type="paragraph" w:customStyle="1" w:styleId="Bullet3">
    <w:name w:val="Bullet 3"/>
    <w:basedOn w:val="Normal"/>
    <w:rsid w:val="005365AB"/>
    <w:pPr>
      <w:numPr>
        <w:numId w:val="43"/>
      </w:numPr>
    </w:pPr>
  </w:style>
  <w:style w:type="paragraph" w:customStyle="1" w:styleId="Bullet4">
    <w:name w:val="Bullet 4"/>
    <w:basedOn w:val="Normal"/>
    <w:rsid w:val="005365AB"/>
    <w:pPr>
      <w:numPr>
        <w:numId w:val="44"/>
      </w:numPr>
    </w:pPr>
  </w:style>
  <w:style w:type="paragraph" w:customStyle="1" w:styleId="Langue">
    <w:name w:val="Langue"/>
    <w:basedOn w:val="Normal"/>
    <w:next w:val="Rfrenceinterne"/>
    <w:rsid w:val="005365AB"/>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365AB"/>
    <w:pPr>
      <w:spacing w:before="0" w:after="0"/>
      <w:jc w:val="left"/>
    </w:pPr>
    <w:rPr>
      <w:rFonts w:ascii="Arial" w:hAnsi="Arial" w:cs="Arial"/>
    </w:rPr>
  </w:style>
  <w:style w:type="paragraph" w:customStyle="1" w:styleId="Emission">
    <w:name w:val="Emission"/>
    <w:basedOn w:val="Normal"/>
    <w:next w:val="Rfrenceinstitutionnelle"/>
    <w:rsid w:val="005365AB"/>
    <w:pPr>
      <w:spacing w:before="0" w:after="0"/>
      <w:ind w:left="5103"/>
      <w:jc w:val="left"/>
    </w:pPr>
  </w:style>
  <w:style w:type="paragraph" w:customStyle="1" w:styleId="Rfrenceinstitutionnelle">
    <w:name w:val="Référence institutionnelle"/>
    <w:basedOn w:val="Normal"/>
    <w:next w:val="Confidentialit"/>
    <w:rsid w:val="005365AB"/>
    <w:pPr>
      <w:spacing w:before="0" w:after="240"/>
      <w:ind w:left="5103"/>
      <w:jc w:val="left"/>
    </w:pPr>
  </w:style>
  <w:style w:type="paragraph" w:customStyle="1" w:styleId="Pagedecouverture">
    <w:name w:val="Page de couverture"/>
    <w:basedOn w:val="Normal"/>
    <w:next w:val="Normal"/>
    <w:rsid w:val="005365AB"/>
    <w:pPr>
      <w:spacing w:before="0" w:after="0"/>
    </w:pPr>
  </w:style>
  <w:style w:type="paragraph" w:customStyle="1" w:styleId="Declassification">
    <w:name w:val="Declassification"/>
    <w:basedOn w:val="Normal"/>
    <w:next w:val="Normal"/>
    <w:rsid w:val="005365AB"/>
    <w:pPr>
      <w:spacing w:before="0" w:after="0"/>
    </w:pPr>
  </w:style>
  <w:style w:type="paragraph" w:customStyle="1" w:styleId="Disclaimer">
    <w:name w:val="Disclaimer"/>
    <w:basedOn w:val="Normal"/>
    <w:rsid w:val="005365AB"/>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365AB"/>
    <w:pPr>
      <w:spacing w:before="0" w:after="0" w:line="276" w:lineRule="auto"/>
      <w:ind w:left="5103"/>
      <w:jc w:val="left"/>
    </w:pPr>
    <w:rPr>
      <w:sz w:val="28"/>
    </w:rPr>
  </w:style>
  <w:style w:type="paragraph" w:customStyle="1" w:styleId="DateMarking">
    <w:name w:val="DateMarking"/>
    <w:basedOn w:val="Normal"/>
    <w:rsid w:val="005365AB"/>
    <w:pPr>
      <w:spacing w:before="0" w:after="0" w:line="276" w:lineRule="auto"/>
      <w:ind w:left="5103"/>
      <w:jc w:val="left"/>
    </w:pPr>
    <w:rPr>
      <w:i/>
      <w:sz w:val="28"/>
    </w:rPr>
  </w:style>
  <w:style w:type="paragraph" w:customStyle="1" w:styleId="ReleasableTo">
    <w:name w:val="ReleasableTo"/>
    <w:basedOn w:val="Normal"/>
    <w:rsid w:val="005365AB"/>
    <w:pPr>
      <w:spacing w:before="0" w:after="0" w:line="276" w:lineRule="auto"/>
      <w:ind w:left="5103"/>
      <w:jc w:val="left"/>
    </w:pPr>
    <w:rPr>
      <w:i/>
      <w:sz w:val="28"/>
    </w:rPr>
  </w:style>
  <w:style w:type="paragraph" w:customStyle="1" w:styleId="Annexetitreexpos">
    <w:name w:val="Annexe titre (exposé)"/>
    <w:basedOn w:val="Normal"/>
    <w:next w:val="Normal"/>
    <w:rsid w:val="005365AB"/>
    <w:pPr>
      <w:jc w:val="center"/>
    </w:pPr>
    <w:rPr>
      <w:b/>
      <w:u w:val="single"/>
    </w:rPr>
  </w:style>
  <w:style w:type="paragraph" w:customStyle="1" w:styleId="Annexetitre">
    <w:name w:val="Annexe titre"/>
    <w:basedOn w:val="Normal"/>
    <w:next w:val="Normal"/>
    <w:rsid w:val="005365AB"/>
    <w:pPr>
      <w:jc w:val="center"/>
    </w:pPr>
    <w:rPr>
      <w:b/>
      <w:u w:val="single"/>
    </w:rPr>
  </w:style>
  <w:style w:type="paragraph" w:customStyle="1" w:styleId="Annexetitrefichefinancire">
    <w:name w:val="Annexe titre (fiche financière)"/>
    <w:basedOn w:val="Normal"/>
    <w:next w:val="Normal"/>
    <w:rsid w:val="005365AB"/>
    <w:pPr>
      <w:jc w:val="center"/>
    </w:pPr>
    <w:rPr>
      <w:b/>
      <w:u w:val="single"/>
    </w:rPr>
  </w:style>
  <w:style w:type="paragraph" w:customStyle="1" w:styleId="Applicationdirecte">
    <w:name w:val="Application directe"/>
    <w:basedOn w:val="Normal"/>
    <w:next w:val="Fait"/>
    <w:rsid w:val="005365AB"/>
    <w:pPr>
      <w:spacing w:before="480"/>
    </w:pPr>
  </w:style>
  <w:style w:type="paragraph" w:customStyle="1" w:styleId="Avertissementtitre">
    <w:name w:val="Avertissement titre"/>
    <w:basedOn w:val="Normal"/>
    <w:next w:val="Normal"/>
    <w:rsid w:val="005365AB"/>
    <w:pPr>
      <w:keepNext/>
      <w:spacing w:before="480"/>
    </w:pPr>
    <w:rPr>
      <w:u w:val="single"/>
    </w:rPr>
  </w:style>
  <w:style w:type="paragraph" w:customStyle="1" w:styleId="Confidence">
    <w:name w:val="Confidence"/>
    <w:basedOn w:val="Normal"/>
    <w:next w:val="Normal"/>
    <w:rsid w:val="005365AB"/>
    <w:pPr>
      <w:spacing w:before="360"/>
      <w:jc w:val="center"/>
    </w:pPr>
  </w:style>
  <w:style w:type="paragraph" w:customStyle="1" w:styleId="Confidentialit">
    <w:name w:val="Confidentialité"/>
    <w:basedOn w:val="Normal"/>
    <w:next w:val="TypedudocumentPagedecouverture"/>
    <w:rsid w:val="005365AB"/>
    <w:pPr>
      <w:spacing w:before="240" w:after="240"/>
      <w:ind w:left="5103"/>
      <w:jc w:val="left"/>
    </w:pPr>
    <w:rPr>
      <w:i/>
      <w:sz w:val="32"/>
    </w:rPr>
  </w:style>
  <w:style w:type="paragraph" w:customStyle="1" w:styleId="Considrant">
    <w:name w:val="Considérant"/>
    <w:basedOn w:val="Normal"/>
    <w:rsid w:val="005365AB"/>
    <w:pPr>
      <w:numPr>
        <w:numId w:val="45"/>
      </w:numPr>
    </w:pPr>
  </w:style>
  <w:style w:type="paragraph" w:customStyle="1" w:styleId="Corrigendum">
    <w:name w:val="Corrigendum"/>
    <w:basedOn w:val="Normal"/>
    <w:next w:val="Normal"/>
    <w:rsid w:val="005365AB"/>
    <w:pPr>
      <w:spacing w:before="0" w:after="240"/>
      <w:jc w:val="left"/>
    </w:pPr>
  </w:style>
  <w:style w:type="paragraph" w:customStyle="1" w:styleId="Datedadoption">
    <w:name w:val="Date d'adoption"/>
    <w:basedOn w:val="Normal"/>
    <w:next w:val="IntrtEEE"/>
    <w:rsid w:val="005365AB"/>
    <w:pPr>
      <w:spacing w:before="360" w:after="0"/>
      <w:jc w:val="center"/>
    </w:pPr>
    <w:rPr>
      <w:b/>
    </w:rPr>
  </w:style>
  <w:style w:type="paragraph" w:customStyle="1" w:styleId="Exposdesmotifstitre">
    <w:name w:val="Exposé des motifs titre"/>
    <w:basedOn w:val="Normal"/>
    <w:next w:val="Normal"/>
    <w:rsid w:val="005365AB"/>
    <w:pPr>
      <w:jc w:val="center"/>
    </w:pPr>
    <w:rPr>
      <w:b/>
      <w:u w:val="single"/>
    </w:rPr>
  </w:style>
  <w:style w:type="paragraph" w:customStyle="1" w:styleId="Fait">
    <w:name w:val="Fait à"/>
    <w:basedOn w:val="Normal"/>
    <w:next w:val="Institutionquisigne"/>
    <w:rsid w:val="005365AB"/>
    <w:pPr>
      <w:keepNext/>
      <w:spacing w:after="0"/>
    </w:pPr>
  </w:style>
  <w:style w:type="paragraph" w:customStyle="1" w:styleId="Formuledadoption">
    <w:name w:val="Formule d'adoption"/>
    <w:basedOn w:val="Normal"/>
    <w:next w:val="Titrearticle"/>
    <w:rsid w:val="005365AB"/>
    <w:pPr>
      <w:keepNext/>
    </w:pPr>
  </w:style>
  <w:style w:type="paragraph" w:customStyle="1" w:styleId="Institutionquiagit">
    <w:name w:val="Institution qui agit"/>
    <w:basedOn w:val="Normal"/>
    <w:next w:val="Normal"/>
    <w:rsid w:val="005365AB"/>
    <w:pPr>
      <w:keepNext/>
      <w:spacing w:before="600"/>
    </w:pPr>
  </w:style>
  <w:style w:type="paragraph" w:customStyle="1" w:styleId="Institutionquisigne">
    <w:name w:val="Institution qui signe"/>
    <w:basedOn w:val="Normal"/>
    <w:next w:val="Personnequisigne"/>
    <w:rsid w:val="005365AB"/>
    <w:pPr>
      <w:keepNext/>
      <w:tabs>
        <w:tab w:val="left" w:pos="4252"/>
      </w:tabs>
      <w:spacing w:before="720" w:after="0"/>
    </w:pPr>
    <w:rPr>
      <w:i/>
    </w:rPr>
  </w:style>
  <w:style w:type="paragraph" w:customStyle="1" w:styleId="ManualConsidrant">
    <w:name w:val="Manual Considérant"/>
    <w:basedOn w:val="Normal"/>
    <w:rsid w:val="005365AB"/>
    <w:pPr>
      <w:ind w:left="709" w:hanging="709"/>
    </w:pPr>
  </w:style>
  <w:style w:type="paragraph" w:customStyle="1" w:styleId="Personnequisigne">
    <w:name w:val="Personne qui signe"/>
    <w:basedOn w:val="Normal"/>
    <w:next w:val="Institutionquisigne"/>
    <w:rsid w:val="005365AB"/>
    <w:pPr>
      <w:tabs>
        <w:tab w:val="left" w:pos="4252"/>
      </w:tabs>
      <w:spacing w:before="0" w:after="0"/>
      <w:jc w:val="left"/>
    </w:pPr>
    <w:rPr>
      <w:i/>
    </w:rPr>
  </w:style>
  <w:style w:type="paragraph" w:customStyle="1" w:styleId="Rfrenceinterinstitutionnelle">
    <w:name w:val="Référence interinstitutionnelle"/>
    <w:basedOn w:val="Normal"/>
    <w:next w:val="Statut"/>
    <w:rsid w:val="005365AB"/>
    <w:pPr>
      <w:spacing w:before="0" w:after="0"/>
      <w:ind w:left="5103"/>
      <w:jc w:val="left"/>
    </w:pPr>
  </w:style>
  <w:style w:type="paragraph" w:customStyle="1" w:styleId="Rfrenceinterne">
    <w:name w:val="Référence interne"/>
    <w:basedOn w:val="Normal"/>
    <w:next w:val="Rfrenceinterinstitutionnelle"/>
    <w:rsid w:val="005365AB"/>
    <w:pPr>
      <w:spacing w:before="0" w:after="0"/>
      <w:ind w:left="5103"/>
      <w:jc w:val="left"/>
    </w:pPr>
  </w:style>
  <w:style w:type="paragraph" w:customStyle="1" w:styleId="Statut">
    <w:name w:val="Statut"/>
    <w:basedOn w:val="Normal"/>
    <w:next w:val="Typedudocument"/>
    <w:rsid w:val="005365AB"/>
    <w:pPr>
      <w:spacing w:before="0" w:after="240"/>
      <w:jc w:val="center"/>
    </w:pPr>
  </w:style>
  <w:style w:type="paragraph" w:customStyle="1" w:styleId="Titrearticle">
    <w:name w:val="Titre article"/>
    <w:basedOn w:val="Normal"/>
    <w:next w:val="Normal"/>
    <w:rsid w:val="005365AB"/>
    <w:pPr>
      <w:keepNext/>
      <w:spacing w:before="360"/>
      <w:jc w:val="center"/>
    </w:pPr>
    <w:rPr>
      <w:i/>
    </w:rPr>
  </w:style>
  <w:style w:type="paragraph" w:customStyle="1" w:styleId="Typedudocument">
    <w:name w:val="Type du document"/>
    <w:basedOn w:val="Normal"/>
    <w:next w:val="Accompagnant"/>
    <w:rsid w:val="005365AB"/>
    <w:pPr>
      <w:spacing w:before="360" w:after="180"/>
      <w:jc w:val="center"/>
    </w:pPr>
    <w:rPr>
      <w:b/>
    </w:rPr>
  </w:style>
  <w:style w:type="character" w:customStyle="1" w:styleId="Added">
    <w:name w:val="Added"/>
    <w:basedOn w:val="DefaultParagraphFont"/>
    <w:rsid w:val="005365AB"/>
    <w:rPr>
      <w:b/>
      <w:u w:val="single"/>
      <w:shd w:val="clear" w:color="auto" w:fill="auto"/>
    </w:rPr>
  </w:style>
  <w:style w:type="character" w:customStyle="1" w:styleId="Deleted">
    <w:name w:val="Deleted"/>
    <w:basedOn w:val="DefaultParagraphFont"/>
    <w:rsid w:val="005365AB"/>
    <w:rPr>
      <w:strike/>
      <w:dstrike w:val="0"/>
      <w:shd w:val="clear" w:color="auto" w:fill="auto"/>
    </w:rPr>
  </w:style>
  <w:style w:type="paragraph" w:customStyle="1" w:styleId="Address">
    <w:name w:val="Address"/>
    <w:basedOn w:val="Normal"/>
    <w:next w:val="Normal"/>
    <w:rsid w:val="005365AB"/>
    <w:pPr>
      <w:keepLines/>
      <w:spacing w:line="360" w:lineRule="auto"/>
      <w:ind w:left="3402"/>
      <w:jc w:val="left"/>
    </w:pPr>
  </w:style>
  <w:style w:type="paragraph" w:customStyle="1" w:styleId="Objetexterne">
    <w:name w:val="Objet externe"/>
    <w:basedOn w:val="Normal"/>
    <w:next w:val="Normal"/>
    <w:rsid w:val="005365AB"/>
    <w:rPr>
      <w:i/>
      <w:caps/>
    </w:rPr>
  </w:style>
  <w:style w:type="paragraph" w:customStyle="1" w:styleId="Supertitre">
    <w:name w:val="Supertitre"/>
    <w:basedOn w:val="Normal"/>
    <w:next w:val="Normal"/>
    <w:rsid w:val="005365AB"/>
    <w:pPr>
      <w:spacing w:before="0" w:after="600"/>
      <w:jc w:val="center"/>
    </w:pPr>
    <w:rPr>
      <w:b/>
    </w:rPr>
  </w:style>
  <w:style w:type="paragraph" w:customStyle="1" w:styleId="Languesfaisantfoi">
    <w:name w:val="Langues faisant foi"/>
    <w:basedOn w:val="Normal"/>
    <w:next w:val="Normal"/>
    <w:rsid w:val="005365AB"/>
    <w:pPr>
      <w:spacing w:before="360" w:after="0"/>
      <w:jc w:val="center"/>
    </w:pPr>
  </w:style>
  <w:style w:type="paragraph" w:customStyle="1" w:styleId="Rfrencecroise">
    <w:name w:val="Référence croisée"/>
    <w:basedOn w:val="Normal"/>
    <w:rsid w:val="005365AB"/>
    <w:pPr>
      <w:spacing w:before="0" w:after="0"/>
      <w:jc w:val="center"/>
    </w:pPr>
  </w:style>
  <w:style w:type="paragraph" w:customStyle="1" w:styleId="Fichefinanciretitre">
    <w:name w:val="Fiche financière titre"/>
    <w:basedOn w:val="Normal"/>
    <w:next w:val="Normal"/>
    <w:rsid w:val="005365AB"/>
    <w:pPr>
      <w:jc w:val="center"/>
    </w:pPr>
    <w:rPr>
      <w:b/>
      <w:u w:val="single"/>
    </w:rPr>
  </w:style>
  <w:style w:type="paragraph" w:customStyle="1" w:styleId="DatedadoptionPagedecouverture">
    <w:name w:val="Date d'adoption (Page de couverture)"/>
    <w:basedOn w:val="Datedadoption"/>
    <w:next w:val="IntrtEEEPagedecouverture"/>
    <w:rsid w:val="005365AB"/>
  </w:style>
  <w:style w:type="paragraph" w:customStyle="1" w:styleId="RfrenceinterinstitutionnellePagedecouverture">
    <w:name w:val="Référence interinstitutionnelle (Page de couverture)"/>
    <w:basedOn w:val="Rfrenceinterinstitutionnelle"/>
    <w:next w:val="Confidentialit"/>
    <w:rsid w:val="005365AB"/>
  </w:style>
  <w:style w:type="paragraph" w:customStyle="1" w:styleId="StatutPagedecouverture">
    <w:name w:val="Statut (Page de couverture)"/>
    <w:basedOn w:val="Statut"/>
    <w:next w:val="TypedudocumentPagedecouverture"/>
    <w:rsid w:val="005365AB"/>
  </w:style>
  <w:style w:type="paragraph" w:customStyle="1" w:styleId="TypedudocumentPagedecouverture">
    <w:name w:val="Type du document (Page de couverture)"/>
    <w:basedOn w:val="Typedudocument"/>
    <w:next w:val="AccompagnantPagedecouverture"/>
    <w:rsid w:val="005365AB"/>
  </w:style>
  <w:style w:type="paragraph" w:customStyle="1" w:styleId="Volume">
    <w:name w:val="Volume"/>
    <w:basedOn w:val="Normal"/>
    <w:next w:val="Confidentialit"/>
    <w:rsid w:val="005365AB"/>
    <w:pPr>
      <w:spacing w:before="0" w:after="240"/>
      <w:ind w:left="5103"/>
      <w:jc w:val="left"/>
    </w:pPr>
  </w:style>
  <w:style w:type="paragraph" w:customStyle="1" w:styleId="IntrtEEE">
    <w:name w:val="Intérêt EEE"/>
    <w:basedOn w:val="Languesfaisantfoi"/>
    <w:next w:val="Normal"/>
    <w:rsid w:val="005365AB"/>
    <w:pPr>
      <w:spacing w:after="240"/>
    </w:pPr>
  </w:style>
  <w:style w:type="paragraph" w:customStyle="1" w:styleId="Accompagnant">
    <w:name w:val="Accompagnant"/>
    <w:basedOn w:val="Normal"/>
    <w:next w:val="Typeacteprincipal"/>
    <w:rsid w:val="005365AB"/>
    <w:pPr>
      <w:spacing w:before="180" w:after="240"/>
      <w:jc w:val="center"/>
    </w:pPr>
    <w:rPr>
      <w:b/>
    </w:rPr>
  </w:style>
  <w:style w:type="paragraph" w:customStyle="1" w:styleId="Typeacteprincipal">
    <w:name w:val="Type acte principal"/>
    <w:basedOn w:val="Normal"/>
    <w:next w:val="Objetacteprincipal"/>
    <w:rsid w:val="005365AB"/>
    <w:pPr>
      <w:spacing w:before="0" w:after="240"/>
      <w:jc w:val="center"/>
    </w:pPr>
    <w:rPr>
      <w:b/>
    </w:rPr>
  </w:style>
  <w:style w:type="paragraph" w:customStyle="1" w:styleId="Objetacteprincipal">
    <w:name w:val="Objet acte principal"/>
    <w:basedOn w:val="Normal"/>
    <w:next w:val="Titrearticle"/>
    <w:rsid w:val="005365AB"/>
    <w:pPr>
      <w:spacing w:before="0" w:after="360"/>
      <w:jc w:val="center"/>
    </w:pPr>
    <w:rPr>
      <w:b/>
    </w:rPr>
  </w:style>
  <w:style w:type="paragraph" w:customStyle="1" w:styleId="IntrtEEEPagedecouverture">
    <w:name w:val="Intérêt EEE (Page de couverture)"/>
    <w:basedOn w:val="IntrtEEE"/>
    <w:next w:val="Rfrencecroise"/>
    <w:rsid w:val="005365AB"/>
  </w:style>
  <w:style w:type="paragraph" w:customStyle="1" w:styleId="AccompagnantPagedecouverture">
    <w:name w:val="Accompagnant (Page de couverture)"/>
    <w:basedOn w:val="Accompagnant"/>
    <w:next w:val="TypeacteprincipalPagedecouverture"/>
    <w:rsid w:val="005365AB"/>
  </w:style>
  <w:style w:type="paragraph" w:customStyle="1" w:styleId="TypeacteprincipalPagedecouverture">
    <w:name w:val="Type acte principal (Page de couverture)"/>
    <w:basedOn w:val="Typeacteprincipal"/>
    <w:next w:val="ObjetacteprincipalPagedecouverture"/>
    <w:rsid w:val="005365AB"/>
  </w:style>
  <w:style w:type="paragraph" w:customStyle="1" w:styleId="ObjetacteprincipalPagedecouverture">
    <w:name w:val="Objet acte principal (Page de couverture)"/>
    <w:basedOn w:val="Objetacteprincipal"/>
    <w:next w:val="Rfrencecroise"/>
    <w:rsid w:val="005365AB"/>
  </w:style>
  <w:style w:type="paragraph" w:customStyle="1" w:styleId="LanguesfaisantfoiPagedecouverture">
    <w:name w:val="Langues faisant foi (Page de couverture)"/>
    <w:basedOn w:val="Normal"/>
    <w:next w:val="Normal"/>
    <w:rsid w:val="005365AB"/>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3075">
      <w:bodyDiv w:val="1"/>
      <w:marLeft w:val="0"/>
      <w:marRight w:val="0"/>
      <w:marTop w:val="0"/>
      <w:marBottom w:val="0"/>
      <w:divBdr>
        <w:top w:val="none" w:sz="0" w:space="0" w:color="auto"/>
        <w:left w:val="none" w:sz="0" w:space="0" w:color="auto"/>
        <w:bottom w:val="none" w:sz="0" w:space="0" w:color="auto"/>
        <w:right w:val="none" w:sz="0" w:space="0" w:color="auto"/>
      </w:divBdr>
    </w:div>
    <w:div w:id="13538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S Document" ma:contentTypeID="0x0101005DF3943697863C4BAFE02ACD39E1037600C3D8884E693BEF47BE5757E0A7E94B43" ma:contentTypeVersion="38" ma:contentTypeDescription="" ma:contentTypeScope="" ma:versionID="a0899af99ca01f19e9c93925865a2489">
  <xsd:schema xmlns:xsd="http://www.w3.org/2001/XMLSchema" xmlns:xs="http://www.w3.org/2001/XMLSchema" xmlns:p="http://schemas.microsoft.com/office/2006/metadata/properties" xmlns:ns1="http://schemas.microsoft.com/sharepoint/v3" xmlns:ns2="e673286e-6f71-4ce5-a1df-6ac6f0b96812" xmlns:ns3="a7be27cd-125f-466c-816c-c3bde3a15869" targetNamespace="http://schemas.microsoft.com/office/2006/metadata/properties" ma:root="true" ma:fieldsID="d10f27413d87acd774aae5958edf5f64" ns1:_="" ns2:_="" ns3:_="">
    <xsd:import namespace="http://schemas.microsoft.com/sharepoint/v3"/>
    <xsd:import namespace="e673286e-6f71-4ce5-a1df-6ac6f0b96812"/>
    <xsd:import namespace="a7be27cd-125f-466c-816c-c3bde3a15869"/>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8" nillable="true" ma:displayName="FilenameMeetingType" ma:internalName="FilenameMeetingType">
      <xsd:simpleType>
        <xsd:restriction base="dms:Choice">
          <xsd:enumeration value="MB"/>
          <xsd:enumeration value="BoS"/>
          <xsd:enumeration value="..."/>
        </xsd:restriction>
      </xsd:simpleType>
    </xsd:element>
    <xsd:element name="NextMeetingType" ma:index="29"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0" nillable="true" ma:displayName="FilenameMeetingAgendaNo" ma:internalName="FilenameMeetingAgendaNo">
      <xsd:simpleType>
        <xsd:restriction base="dms:Text"/>
      </xsd:simpleType>
    </xsd:element>
    <xsd:element name="FilenameMeetingNo" ma:index="31" nillable="true" ma:displayName="FilenameMeetingNo" ma:internalName="FilenameMeetingNo">
      <xsd:simpleType>
        <xsd:restriction base="dms:Text"/>
      </xsd:simpleType>
    </xsd:element>
    <xsd:element name="NextMeeting" ma:index="32" nillable="true" ma:displayName="NextMeeting" ma:internalName="NextMeeting">
      <xsd:simpleType>
        <xsd:restriction base="dms:Text"/>
      </xsd:simpleType>
    </xsd:element>
    <xsd:element name="SourceDocumentInfo" ma:index="33" nillable="true" ma:displayName="SourceDocumentInfo" ma:internalName="SourceDocumentInfo">
      <xsd:simpleType>
        <xsd:restriction base="dms:Note">
          <xsd:maxLength value="255"/>
        </xsd:restriction>
      </xsd:simpleType>
    </xsd:element>
    <xsd:element name="NextMeetingSubfolder" ma:index="34" nillable="true" ma:displayName="NextMeetingSubfolder" ma:internalName="NextMeetingSubfolder">
      <xsd:simpleType>
        <xsd:restriction base="dms:Text"/>
      </xsd:simpleType>
    </xsd:element>
    <xsd:element name="SubmittingDepartment" ma:index="35" nillable="true" ma:displayName="SubmittingDepartment" ma:internalName="SubmittingDepartment">
      <xsd:simpleType>
        <xsd:restriction base="dms:Text"/>
      </xsd:simpleType>
    </xsd:element>
    <xsd:element name="MeetingApprovalPath" ma:index="36"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e27cd-125f-466c-816c-c3bde3a1586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ERIS_RecordNumber xmlns="e673286e-6f71-4ce5-a1df-6ac6f0b96812">EIOPA(2022)0033071</ERIS_RecordNumber>
    <c68805d20479436ca52c1b8f5a667b3e xmlns="e673286e-6f71-4ce5-a1df-6ac6f0b96812">
      <Terms xmlns="http://schemas.microsoft.com/office/infopath/2007/PartnerControls">
        <TermInfo xmlns="http://schemas.microsoft.com/office/infopath/2007/PartnerControls">
          <TermName xmlns="http://schemas.microsoft.com/office/infopath/2007/PartnerControls">Consumer Protection</TermName>
          <TermId xmlns="http://schemas.microsoft.com/office/infopath/2007/PartnerControls">3ca06cc2-4254-4d7f-adce-f0199e390ade</TermId>
        </TermInfo>
        <TermInfo xmlns="http://schemas.microsoft.com/office/infopath/2007/PartnerControls">
          <TermName xmlns="http://schemas.microsoft.com/office/infopath/2007/PartnerControls">Conduct of Business Policy</TermName>
          <TermId xmlns="http://schemas.microsoft.com/office/infopath/2007/PartnerControls">2ddc7f38-0b57-495c-86ff-cc07b70cc972</TermId>
        </TermInfo>
        <TermInfo xmlns="http://schemas.microsoft.com/office/infopath/2007/PartnerControls">
          <TermName xmlns="http://schemas.microsoft.com/office/infopath/2007/PartnerControls">Sustainable Finance</TermName>
          <TermId xmlns="http://schemas.microsoft.com/office/infopath/2007/PartnerControls">6208a64e-e24c-42c5-809d-e81dc10bc187</TermId>
        </TermInfo>
      </Terms>
    </c68805d20479436ca52c1b8f5a667b3e>
    <TaxCatchAll xmlns="e673286e-6f71-4ce5-a1df-6ac6f0b96812">
      <Value>2</Value>
      <Value>63</Value>
      <Value>28</Value>
      <Value>37</Value>
      <Value>3</Value>
      <Value>1</Value>
    </TaxCatchAll>
    <MeetingApprovalPath xmlns="e673286e-6f71-4ce5-a1df-6ac6f0b96812" xsi:nil="true"/>
    <ERIS_AdditionalMarkings xmlns="e673286e-6f71-4ce5-a1df-6ac6f0b96812" xsi:nil="true"/>
    <ERIS_BusinessArea xmlns="e673286e-6f71-4ce5-a1df-6ac6f0b96812" xsi:nil="true"/>
    <ERIS_ConfidentialityLevel xmlns="e673286e-6f71-4ce5-a1df-6ac6f0b96812">EIOPA Regular Use</ERIS_ConfidentialityLevel>
    <l4223d76dc9748a5ade3cb0f006929fa xmlns="e673286e-6f71-4ce5-a1df-6ac6f0b9681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2741a941-2920-4ba4-aa70-d8ed6ac1785d</TermId>
        </TermInfo>
      </Terms>
    </l4223d76dc9748a5ade3cb0f006929fa>
    <ERIS_ApprovalStatus xmlns="e673286e-6f71-4ce5-a1df-6ac6f0b96812">DRAFT</ERIS_ApprovalStatus>
    <NextMeetingType xmlns="e673286e-6f71-4ce5-a1df-6ac6f0b96812" xsi:nil="true"/>
    <FormData xmlns="http://schemas.microsoft.com/sharepoint/v3">&lt;?xml version="1.0" encoding="utf-8"?&gt;&lt;FormVariables&gt;&lt;Version /&gt;&lt;Advanced type="System.Boolean"&gt;False&lt;/Advanced&gt;&lt;/FormVariables&gt;</FormData>
    <ERIS_OtherReference xmlns="e673286e-6f71-4ce5-a1df-6ac6f0b96812" xsi:nil="true"/>
    <FilenameMeetingType xmlns="e673286e-6f71-4ce5-a1df-6ac6f0b96812" xsi:nil="true"/>
    <SubmittingDepartment xmlns="e673286e-6f71-4ce5-a1df-6ac6f0b96812" xsi:nil="true"/>
    <FilenameMeetingAgendaNo xmlns="e673286e-6f71-4ce5-a1df-6ac6f0b96812" xsi:nil="true"/>
    <FilenameMeetingNo xmlns="e673286e-6f71-4ce5-a1df-6ac6f0b96812" xsi:nil="true"/>
    <ERIS_SupersededObsolete xmlns="e673286e-6f71-4ce5-a1df-6ac6f0b96812">false</ERIS_SupersededObsolete>
    <SourceDocumentInfo xmlns="e673286e-6f71-4ce5-a1df-6ac6f0b96812" xsi:nil="true"/>
    <NextMeetingSubfolder xmlns="e673286e-6f71-4ce5-a1df-6ac6f0b96812" xsi:nil="true"/>
    <pc33df311ea641f18af3c7dad597c019 xmlns="e673286e-6f71-4ce5-a1df-6ac6f0b96812">
      <Terms xmlns="http://schemas.microsoft.com/office/infopath/2007/PartnerControls">
        <TermInfo xmlns="http://schemas.microsoft.com/office/infopath/2007/PartnerControls">
          <TermName xmlns="http://schemas.microsoft.com/office/infopath/2007/PartnerControls">Agreement/Contract</TermName>
          <TermId xmlns="http://schemas.microsoft.com/office/infopath/2007/PartnerControls">35b770eb-3765-427a-8694-fcd183021460</TermId>
        </TermInfo>
      </Terms>
    </pc33df311ea641f18af3c7dad597c019>
    <me07b23ed1e34b3da3cbf3dfbdc8e965 xmlns="e673286e-6f71-4ce5-a1df-6ac6f0b96812">
      <Terms xmlns="http://schemas.microsoft.com/office/infopath/2007/PartnerControls">
        <TermInfo xmlns="http://schemas.microsoft.com/office/infopath/2007/PartnerControls">
          <TermName xmlns="http://schemas.microsoft.com/office/infopath/2007/PartnerControls">Consumer Protection Department</TermName>
          <TermId xmlns="http://schemas.microsoft.com/office/infopath/2007/PartnerControls">9bcd514f-40c4-4edd-acb3-61da1325c6eb</TermId>
        </TermInfo>
      </Terms>
    </me07b23ed1e34b3da3cbf3dfbdc8e965>
    <ERIS_Relation xmlns="e673286e-6f71-4ce5-a1df-6ac6f0b96812">, </ERIS_Relation>
    <ERIS_AssignedTo xmlns="e673286e-6f71-4ce5-a1df-6ac6f0b96812">
      <UserInfo>
        <DisplayName/>
        <AccountId xsi:nil="true"/>
        <AccountType/>
      </UserInfo>
    </ERIS_AssignedTo>
    <NextMeeting xmlns="e673286e-6f71-4ce5-a1df-6ac6f0b96812" xsi:nil="true"/>
  </documentManagement>
</p:properties>
</file>

<file path=customXml/itemProps1.xml><?xml version="1.0" encoding="utf-8"?>
<ds:datastoreItem xmlns:ds="http://schemas.openxmlformats.org/officeDocument/2006/customXml" ds:itemID="{099EE0B6-A33F-4D02-AD07-214363B41D0C}">
  <ds:schemaRefs>
    <ds:schemaRef ds:uri="http://schemas.openxmlformats.org/officeDocument/2006/bibliography"/>
  </ds:schemaRefs>
</ds:datastoreItem>
</file>

<file path=customXml/itemProps2.xml><?xml version="1.0" encoding="utf-8"?>
<ds:datastoreItem xmlns:ds="http://schemas.openxmlformats.org/officeDocument/2006/customXml" ds:itemID="{0D5C8BA4-2D9E-419F-B7D7-4CE4CBE112D3}"/>
</file>

<file path=customXml/itemProps3.xml><?xml version="1.0" encoding="utf-8"?>
<ds:datastoreItem xmlns:ds="http://schemas.openxmlformats.org/officeDocument/2006/customXml" ds:itemID="{7245F6AF-1CAE-4E4D-9179-FBF65C63033C}"/>
</file>

<file path=customXml/itemProps4.xml><?xml version="1.0" encoding="utf-8"?>
<ds:datastoreItem xmlns:ds="http://schemas.openxmlformats.org/officeDocument/2006/customXml" ds:itemID="{27AD4482-5F66-4989-BA46-6123134931E7}"/>
</file>

<file path=customXml/itemProps5.xml><?xml version="1.0" encoding="utf-8"?>
<ds:datastoreItem xmlns:ds="http://schemas.openxmlformats.org/officeDocument/2006/customXml" ds:itemID="{721A2095-30DB-462A-BCE2-2FDAF82DF5C7}"/>
</file>

<file path=customXml/itemProps6.xml><?xml version="1.0" encoding="utf-8"?>
<ds:datastoreItem xmlns:ds="http://schemas.openxmlformats.org/officeDocument/2006/customXml" ds:itemID="{E36BE851-B5DC-4591-BB80-D4A8374647A7}"/>
</file>

<file path=customXml/itemProps7.xml><?xml version="1.0" encoding="utf-8"?>
<ds:datastoreItem xmlns:ds="http://schemas.openxmlformats.org/officeDocument/2006/customXml" ds:itemID="{3E666893-7725-481C-8D76-D747C1C16193}"/>
</file>

<file path=docProps/app.xml><?xml version="1.0" encoding="utf-8"?>
<Properties xmlns="http://schemas.openxmlformats.org/officeDocument/2006/extended-properties" xmlns:vt="http://schemas.openxmlformats.org/officeDocument/2006/docPropsVTypes">
  <Template>ANNEX</Template>
  <TotalTime>0</TotalTime>
  <Pages>3</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KALIMERI Vasiliki (JUST)</dc:creator>
  <cp:keywords/>
  <dc:description/>
  <cp:lastModifiedBy>Ursula Bordas</cp:lastModifiedBy>
  <cp:revision>2</cp:revision>
  <dcterms:created xsi:type="dcterms:W3CDTF">2022-07-21T13:00:00Z</dcterms:created>
  <dcterms:modified xsi:type="dcterms:W3CDTF">2022-07-21T13:00:00Z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8.0, Build 20220128</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Yellow (DQC version 03)</vt:lpwstr>
  </property>
  <property fmtid="{D5CDD505-2E9C-101B-9397-08002B2CF9AE}" pid="14" name="ContentTypeId">
    <vt:lpwstr>0x0101005DF3943697863C4BAFE02ACD39E1037600C3D8884E693BEF47BE5757E0A7E94B43</vt:lpwstr>
  </property>
  <property fmtid="{D5CDD505-2E9C-101B-9397-08002B2CF9AE}" pid="15" name="ERIS_Language">
    <vt:lpwstr>2;#English|2741a941-2920-4ba4-aa70-d8ed6ac1785d</vt:lpwstr>
  </property>
  <property fmtid="{D5CDD505-2E9C-101B-9397-08002B2CF9AE}" pid="16" name="ERIS_Keywords">
    <vt:lpwstr>3;#Consumer Protection|3ca06cc2-4254-4d7f-adce-f0199e390ade;#28;#Conduct of Business Policy|2ddc7f38-0b57-495c-86ff-cc07b70cc972;#37;#Sustainable Finance|6208a64e-e24c-42c5-809d-e81dc10bc187</vt:lpwstr>
  </property>
  <property fmtid="{D5CDD505-2E9C-101B-9397-08002B2CF9AE}" pid="17" name="ERIS_Department">
    <vt:lpwstr>1;#Consumer Protection Department|9bcd514f-40c4-4edd-acb3-61da1325c6eb</vt:lpwstr>
  </property>
  <property fmtid="{D5CDD505-2E9C-101B-9397-08002B2CF9AE}" pid="18" name="ERIS_DocumentType">
    <vt:lpwstr>63;#Agreement/Contract|35b770eb-3765-427a-8694-fcd183021460</vt:lpwstr>
  </property>
  <property fmtid="{D5CDD505-2E9C-101B-9397-08002B2CF9AE}" pid="19" name="MDU">
    <vt:lpwstr/>
  </property>
  <property fmtid="{D5CDD505-2E9C-101B-9397-08002B2CF9AE}" pid="20" name="RecordPoint_WorkflowType">
    <vt:lpwstr>ActiveSubmitStub</vt:lpwstr>
  </property>
  <property fmtid="{D5CDD505-2E9C-101B-9397-08002B2CF9AE}" pid="21" name="RecordPoint_ActiveItemWebId">
    <vt:lpwstr>{a7be27cd-125f-466c-816c-c3bde3a15869}</vt:lpwstr>
  </property>
  <property fmtid="{D5CDD505-2E9C-101B-9397-08002B2CF9AE}" pid="22" name="RecordPoint_ActiveItemSiteId">
    <vt:lpwstr>{8f03a93c-3231-44a2-994d-c866c58a25d1}</vt:lpwstr>
  </property>
  <property fmtid="{D5CDD505-2E9C-101B-9397-08002B2CF9AE}" pid="23" name="RecordPoint_ActiveItemListId">
    <vt:lpwstr>{c561ac84-024a-464e-9d95-8d8e6b3ee059}</vt:lpwstr>
  </property>
  <property fmtid="{D5CDD505-2E9C-101B-9397-08002B2CF9AE}" pid="24" name="RecordPoint_ActiveItemUniqueId">
    <vt:lpwstr>{094cffab-b958-4979-94b6-69a3f102ee80}</vt:lpwstr>
  </property>
  <property fmtid="{D5CDD505-2E9C-101B-9397-08002B2CF9AE}" pid="25" name="RecordPoint_RecordNumberSubmitted">
    <vt:lpwstr>EIOPA(2022)0033071</vt:lpwstr>
  </property>
  <property fmtid="{D5CDD505-2E9C-101B-9397-08002B2CF9AE}" pid="26" name="RecordPoint_SubmissionCompleted">
    <vt:lpwstr>2022-07-25T09:54:17.6611472+00:00</vt:lpwstr>
  </property>
</Properties>
</file>